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方正小标宋简体" w:eastAsia="方正小标宋简体" w:cs="方正小标宋简体"/>
          <w:color w:val="auto"/>
          <w:kern w:val="0"/>
          <w:sz w:val="44"/>
          <w:szCs w:val="44"/>
          <w:highlight w:val="none"/>
          <w:lang w:eastAsia="zh-CN"/>
        </w:rPr>
      </w:pPr>
      <w:r>
        <w:rPr>
          <w:rFonts w:hint="eastAsia" w:ascii="方正小标宋简体" w:hAnsi="方正小标宋简体" w:eastAsia="方正小标宋简体" w:cs="方正小标宋简体"/>
          <w:color w:val="auto"/>
          <w:kern w:val="0"/>
          <w:sz w:val="44"/>
          <w:szCs w:val="44"/>
          <w:highlight w:val="none"/>
        </w:rPr>
        <w:t>深圳市福田区</w:t>
      </w:r>
      <w:r>
        <w:rPr>
          <w:rFonts w:hint="eastAsia" w:ascii="方正小标宋简体" w:hAnsi="方正小标宋简体" w:eastAsia="方正小标宋简体" w:cs="方正小标宋简体"/>
          <w:color w:val="auto"/>
          <w:kern w:val="0"/>
          <w:sz w:val="44"/>
          <w:szCs w:val="44"/>
          <w:highlight w:val="none"/>
          <w:lang w:val="en-US" w:eastAsia="zh-CN"/>
        </w:rPr>
        <w:t>产业空间资源协同管理暂行办法</w:t>
      </w:r>
      <w:r>
        <w:rPr>
          <w:rFonts w:hint="eastAsia" w:ascii="方正小标宋简体" w:hAnsi="方正小标宋简体" w:eastAsia="方正小标宋简体" w:cs="方正小标宋简体"/>
          <w:color w:val="auto"/>
          <w:kern w:val="0"/>
          <w:sz w:val="44"/>
          <w:szCs w:val="44"/>
          <w:highlight w:val="none"/>
        </w:rPr>
        <w:t>申请指南</w:t>
      </w:r>
    </w:p>
    <w:p>
      <w:pPr>
        <w:widowControl/>
        <w:autoSpaceDN w:val="0"/>
        <w:spacing w:line="375" w:lineRule="atLeast"/>
        <w:rPr>
          <w:rFonts w:hint="eastAsia" w:ascii="黑体" w:hAnsi="黑体" w:eastAsia="黑体" w:cs="黑体"/>
          <w:color w:val="auto"/>
          <w:szCs w:val="21"/>
          <w:highlight w:val="none"/>
        </w:rPr>
      </w:pP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一、编制依据</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ascii="Arial" w:hAnsi="Times New Roman" w:eastAsia="宋体" w:cs="Times New Roman"/>
          <w:color w:val="auto"/>
          <w:sz w:val="32"/>
          <w:szCs w:val="32"/>
          <w:highlight w:val="none"/>
        </w:rPr>
      </w:pPr>
      <w:r>
        <w:rPr>
          <w:rFonts w:ascii="仿宋_GB2312" w:hAnsi="仿宋_GB2312" w:eastAsia="仿宋_GB2312" w:cs="Times New Roman"/>
          <w:color w:val="auto"/>
          <w:sz w:val="32"/>
          <w:szCs w:val="32"/>
          <w:highlight w:val="none"/>
        </w:rPr>
        <w:t>《深圳市福田区产业发展专项资金管理办法》、《</w:t>
      </w:r>
      <w:r>
        <w:rPr>
          <w:rFonts w:hint="eastAsia" w:ascii="仿宋_GB2312" w:hAnsi="仿宋_GB2312" w:eastAsia="仿宋_GB2312" w:cs="Times New Roman"/>
          <w:color w:val="auto"/>
          <w:sz w:val="32"/>
          <w:szCs w:val="32"/>
          <w:highlight w:val="none"/>
        </w:rPr>
        <w:t>深圳市福田区产业空间资源协同管理暂行办法</w:t>
      </w:r>
      <w:r>
        <w:rPr>
          <w:rFonts w:ascii="仿宋_GB2312" w:hAnsi="仿宋_GB2312" w:eastAsia="仿宋_GB2312" w:cs="Times New Roman"/>
          <w:color w:val="auto"/>
          <w:sz w:val="32"/>
          <w:szCs w:val="32"/>
          <w:highlight w:val="none"/>
        </w:rPr>
        <w:t>》等。</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二、支持对象</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仿宋_GB2312" w:hAnsi="仿宋_GB2312" w:eastAsia="仿宋_GB2312" w:cs="Times New Roman"/>
          <w:color w:val="auto"/>
          <w:sz w:val="32"/>
          <w:szCs w:val="32"/>
          <w:highlight w:val="none"/>
          <w:lang w:eastAsia="zh-CN"/>
        </w:rPr>
        <w:t>原则上为</w:t>
      </w:r>
      <w:r>
        <w:rPr>
          <w:rFonts w:hint="eastAsia" w:ascii="仿宋_GB2312" w:hAnsi="仿宋_GB2312" w:eastAsia="仿宋_GB2312" w:cs="Times New Roman"/>
          <w:color w:val="auto"/>
          <w:sz w:val="32"/>
          <w:szCs w:val="32"/>
          <w:highlight w:val="none"/>
        </w:rPr>
        <w:t>注册登记、税务、统计关系在福田辖区，有健全的财务制度、实行独立核算的企业（含机构，下同），以及经区政府批准的其他企业。</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color w:val="auto"/>
          <w:sz w:val="32"/>
          <w:szCs w:val="32"/>
          <w:highlight w:val="none"/>
        </w:rPr>
      </w:pPr>
      <w:r>
        <w:rPr>
          <w:rFonts w:hint="eastAsia" w:ascii="黑体" w:hAnsi="黑体" w:eastAsia="黑体" w:cs="黑体"/>
          <w:color w:val="auto"/>
          <w:sz w:val="32"/>
          <w:szCs w:val="32"/>
          <w:highlight w:val="none"/>
        </w:rPr>
        <w:t>三、支持项目</w:t>
      </w:r>
    </w:p>
    <w:tbl>
      <w:tblPr>
        <w:tblStyle w:val="3"/>
        <w:tblW w:w="10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
        <w:gridCol w:w="1106"/>
        <w:gridCol w:w="1095"/>
        <w:gridCol w:w="4800"/>
        <w:gridCol w:w="2940"/>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31" w:type="dxa"/>
            <w:noWrap w:val="0"/>
            <w:vAlign w:val="center"/>
          </w:tcPr>
          <w:p>
            <w:pPr>
              <w:keepNext w:val="0"/>
              <w:keepLines w:val="0"/>
              <w:pageBreakBefore w:val="0"/>
              <w:widowControl/>
              <w:kinsoku/>
              <w:wordWrap/>
              <w:overflowPunct/>
              <w:topLinePunct w:val="0"/>
              <w:autoSpaceDE/>
              <w:autoSpaceDN w:val="0"/>
              <w:bidi w:val="0"/>
              <w:adjustRightInd/>
              <w:snapToGrid/>
              <w:spacing w:line="240" w:lineRule="atLeast"/>
              <w:jc w:val="center"/>
              <w:textAlignment w:val="auto"/>
              <w:rPr>
                <w:rFonts w:ascii="Arial" w:hAnsi="Times New Roman" w:eastAsia="宋体" w:cs="Times New Roman"/>
                <w:color w:val="auto"/>
                <w:sz w:val="18"/>
                <w:szCs w:val="20"/>
                <w:highlight w:val="none"/>
              </w:rPr>
            </w:pPr>
            <w:r>
              <w:rPr>
                <w:rFonts w:ascii="Arial" w:hAnsi="Times New Roman" w:eastAsia="宋体" w:cs="Times New Roman"/>
                <w:b/>
                <w:color w:val="auto"/>
                <w:sz w:val="18"/>
                <w:szCs w:val="20"/>
                <w:highlight w:val="none"/>
              </w:rPr>
              <w:t>序号</w:t>
            </w:r>
          </w:p>
        </w:tc>
        <w:tc>
          <w:tcPr>
            <w:tcW w:w="1106" w:type="dxa"/>
            <w:noWrap w:val="0"/>
            <w:vAlign w:val="center"/>
          </w:tcPr>
          <w:p>
            <w:pPr>
              <w:keepNext w:val="0"/>
              <w:keepLines w:val="0"/>
              <w:pageBreakBefore w:val="0"/>
              <w:widowControl/>
              <w:kinsoku/>
              <w:wordWrap/>
              <w:overflowPunct/>
              <w:topLinePunct w:val="0"/>
              <w:autoSpaceDE/>
              <w:autoSpaceDN w:val="0"/>
              <w:bidi w:val="0"/>
              <w:adjustRightInd/>
              <w:snapToGrid/>
              <w:spacing w:line="240" w:lineRule="atLeast"/>
              <w:jc w:val="center"/>
              <w:textAlignment w:val="auto"/>
              <w:rPr>
                <w:rFonts w:ascii="Arial" w:hAnsi="Times New Roman" w:eastAsia="宋体" w:cs="Times New Roman"/>
                <w:color w:val="auto"/>
                <w:sz w:val="18"/>
                <w:szCs w:val="20"/>
                <w:highlight w:val="none"/>
              </w:rPr>
            </w:pPr>
            <w:r>
              <w:rPr>
                <w:rFonts w:ascii="Arial" w:hAnsi="Times New Roman" w:eastAsia="宋体" w:cs="Times New Roman"/>
                <w:b/>
                <w:color w:val="auto"/>
                <w:sz w:val="18"/>
                <w:szCs w:val="20"/>
                <w:highlight w:val="none"/>
              </w:rPr>
              <w:t>类别</w:t>
            </w:r>
          </w:p>
        </w:tc>
        <w:tc>
          <w:tcPr>
            <w:tcW w:w="1095" w:type="dxa"/>
            <w:noWrap w:val="0"/>
            <w:vAlign w:val="center"/>
          </w:tcPr>
          <w:p>
            <w:pPr>
              <w:keepNext w:val="0"/>
              <w:keepLines w:val="0"/>
              <w:pageBreakBefore w:val="0"/>
              <w:widowControl/>
              <w:kinsoku/>
              <w:wordWrap/>
              <w:overflowPunct/>
              <w:topLinePunct w:val="0"/>
              <w:autoSpaceDE/>
              <w:autoSpaceDN w:val="0"/>
              <w:bidi w:val="0"/>
              <w:adjustRightInd/>
              <w:snapToGrid/>
              <w:spacing w:line="240" w:lineRule="atLeast"/>
              <w:jc w:val="center"/>
              <w:textAlignment w:val="auto"/>
              <w:rPr>
                <w:rFonts w:hint="eastAsia" w:ascii="Arial" w:hAnsi="Times New Roman" w:eastAsia="宋体" w:cs="Times New Roman"/>
                <w:b/>
                <w:color w:val="auto"/>
                <w:sz w:val="18"/>
                <w:szCs w:val="20"/>
                <w:highlight w:val="none"/>
              </w:rPr>
            </w:pPr>
            <w:r>
              <w:rPr>
                <w:rFonts w:hint="eastAsia" w:ascii="Arial" w:hAnsi="Times New Roman" w:eastAsia="宋体" w:cs="Times New Roman"/>
                <w:b/>
                <w:color w:val="auto"/>
                <w:sz w:val="18"/>
                <w:szCs w:val="20"/>
                <w:highlight w:val="none"/>
              </w:rPr>
              <w:t>项目</w:t>
            </w:r>
          </w:p>
        </w:tc>
        <w:tc>
          <w:tcPr>
            <w:tcW w:w="4800" w:type="dxa"/>
            <w:noWrap w:val="0"/>
            <w:vAlign w:val="center"/>
          </w:tcPr>
          <w:p>
            <w:pPr>
              <w:keepNext w:val="0"/>
              <w:keepLines w:val="0"/>
              <w:pageBreakBefore w:val="0"/>
              <w:widowControl/>
              <w:kinsoku/>
              <w:wordWrap/>
              <w:overflowPunct/>
              <w:topLinePunct w:val="0"/>
              <w:autoSpaceDE/>
              <w:autoSpaceDN w:val="0"/>
              <w:bidi w:val="0"/>
              <w:adjustRightInd/>
              <w:snapToGrid/>
              <w:spacing w:line="240" w:lineRule="atLeast"/>
              <w:jc w:val="center"/>
              <w:textAlignment w:val="auto"/>
              <w:rPr>
                <w:rFonts w:ascii="Arial" w:hAnsi="Times New Roman" w:eastAsia="宋体" w:cs="Times New Roman"/>
                <w:color w:val="auto"/>
                <w:sz w:val="18"/>
                <w:szCs w:val="20"/>
                <w:highlight w:val="none"/>
              </w:rPr>
            </w:pPr>
            <w:r>
              <w:rPr>
                <w:rFonts w:ascii="Arial" w:hAnsi="Times New Roman" w:eastAsia="宋体" w:cs="Times New Roman"/>
                <w:b/>
                <w:color w:val="auto"/>
                <w:sz w:val="18"/>
                <w:szCs w:val="20"/>
                <w:highlight w:val="none"/>
              </w:rPr>
              <w:t>项目说明</w:t>
            </w:r>
          </w:p>
        </w:tc>
        <w:tc>
          <w:tcPr>
            <w:tcW w:w="2940" w:type="dxa"/>
            <w:noWrap w:val="0"/>
            <w:vAlign w:val="center"/>
          </w:tcPr>
          <w:p>
            <w:pPr>
              <w:keepNext w:val="0"/>
              <w:keepLines w:val="0"/>
              <w:pageBreakBefore w:val="0"/>
              <w:widowControl/>
              <w:kinsoku/>
              <w:wordWrap/>
              <w:overflowPunct/>
              <w:topLinePunct w:val="0"/>
              <w:autoSpaceDE/>
              <w:autoSpaceDN w:val="0"/>
              <w:bidi w:val="0"/>
              <w:adjustRightInd/>
              <w:snapToGrid/>
              <w:spacing w:line="240" w:lineRule="atLeast"/>
              <w:jc w:val="center"/>
              <w:textAlignment w:val="auto"/>
              <w:rPr>
                <w:rFonts w:ascii="Arial" w:hAnsi="Times New Roman" w:eastAsia="宋体" w:cs="Times New Roman"/>
                <w:color w:val="auto"/>
                <w:sz w:val="18"/>
                <w:szCs w:val="20"/>
                <w:highlight w:val="none"/>
              </w:rPr>
            </w:pPr>
            <w:r>
              <w:rPr>
                <w:rFonts w:ascii="Arial" w:hAnsi="Times New Roman" w:eastAsia="宋体" w:cs="Times New Roman"/>
                <w:b/>
                <w:color w:val="auto"/>
                <w:sz w:val="18"/>
                <w:szCs w:val="20"/>
                <w:highlight w:val="none"/>
              </w:rPr>
              <w:t>支持额度</w:t>
            </w:r>
          </w:p>
        </w:tc>
        <w:tc>
          <w:tcPr>
            <w:tcW w:w="724" w:type="dxa"/>
            <w:noWrap w:val="0"/>
            <w:vAlign w:val="center"/>
          </w:tcPr>
          <w:p>
            <w:pPr>
              <w:keepNext w:val="0"/>
              <w:keepLines w:val="0"/>
              <w:pageBreakBefore w:val="0"/>
              <w:widowControl/>
              <w:kinsoku/>
              <w:wordWrap/>
              <w:overflowPunct/>
              <w:topLinePunct w:val="0"/>
              <w:autoSpaceDE/>
              <w:autoSpaceDN w:val="0"/>
              <w:bidi w:val="0"/>
              <w:adjustRightInd/>
              <w:snapToGrid/>
              <w:spacing w:line="240" w:lineRule="atLeast"/>
              <w:jc w:val="center"/>
              <w:textAlignment w:val="auto"/>
              <w:rPr>
                <w:rFonts w:ascii="Arial" w:hAnsi="Times New Roman" w:eastAsia="宋体" w:cs="Times New Roman"/>
                <w:color w:val="auto"/>
                <w:sz w:val="18"/>
                <w:szCs w:val="20"/>
                <w:highlight w:val="none"/>
              </w:rPr>
            </w:pPr>
            <w:r>
              <w:rPr>
                <w:rFonts w:ascii="Arial" w:hAnsi="Times New Roman" w:eastAsia="宋体" w:cs="Times New Roman"/>
                <w:b/>
                <w:color w:val="auto"/>
                <w:sz w:val="18"/>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1</w:t>
            </w:r>
          </w:p>
        </w:tc>
        <w:tc>
          <w:tcPr>
            <w:tcW w:w="11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政策性产业用房</w:t>
            </w:r>
          </w:p>
        </w:tc>
        <w:tc>
          <w:tcPr>
            <w:tcW w:w="1095" w:type="dxa"/>
            <w:noWrap w:val="0"/>
            <w:vAlign w:val="center"/>
          </w:tcPr>
          <w:p>
            <w:pPr>
              <w:keepNext w:val="0"/>
              <w:keepLines w:val="0"/>
              <w:pageBreakBefore w:val="0"/>
              <w:widowControl w:val="0"/>
              <w:kinsoku/>
              <w:wordWrap/>
              <w:overflowPunct/>
              <w:topLinePunct w:val="0"/>
              <w:autoSpaceDE/>
              <w:autoSpaceDN w:val="0"/>
              <w:bidi w:val="0"/>
              <w:adjustRightInd/>
              <w:snapToGrid/>
              <w:spacing w:line="240" w:lineRule="atLeast"/>
              <w:jc w:val="center"/>
              <w:textAlignment w:val="auto"/>
              <w:rPr>
                <w:rFonts w:hint="eastAsia" w:ascii="仿宋_GB2312" w:hAnsi="仿宋_GB2312" w:eastAsia="仿宋_GB2312" w:cs="仿宋_GB2312"/>
                <w:b w:val="0"/>
                <w:color w:val="auto"/>
                <w:sz w:val="21"/>
                <w:szCs w:val="21"/>
                <w:highlight w:val="none"/>
                <w:lang w:eastAsia="zh-CN"/>
              </w:rPr>
            </w:pPr>
            <w:r>
              <w:rPr>
                <w:rFonts w:hint="eastAsia" w:ascii="仿宋_GB2312" w:hAnsi="仿宋_GB2312" w:eastAsia="仿宋_GB2312" w:cs="仿宋_GB2312"/>
                <w:color w:val="auto"/>
                <w:szCs w:val="21"/>
                <w:highlight w:val="none"/>
                <w:lang w:val="en-US" w:eastAsia="zh-CN"/>
              </w:rPr>
              <w:t>租金优惠</w:t>
            </w:r>
          </w:p>
        </w:tc>
        <w:tc>
          <w:tcPr>
            <w:tcW w:w="4800" w:type="dxa"/>
            <w:noWrap w:val="0"/>
            <w:vAlign w:val="top"/>
          </w:tcPr>
          <w:p>
            <w:pPr>
              <w:keepNext w:val="0"/>
              <w:keepLines w:val="0"/>
              <w:pageBreakBefore w:val="0"/>
              <w:widowControl w:val="0"/>
              <w:kinsoku/>
              <w:wordWrap/>
              <w:overflowPunct/>
              <w:topLinePunct w:val="0"/>
              <w:autoSpaceDE/>
              <w:bidi w:val="0"/>
              <w:adjustRightInd/>
              <w:snapToGrid/>
              <w:spacing w:line="240" w:lineRule="atLeast"/>
              <w:textAlignment w:val="auto"/>
              <w:rPr>
                <w:rFonts w:hint="eastAsia" w:ascii="仿宋_GB2312" w:hAnsi="仿宋_GB2312" w:eastAsia="仿宋_GB2312" w:cs="仿宋_GB2312"/>
                <w:b w:val="0"/>
                <w:color w:val="auto"/>
                <w:sz w:val="21"/>
                <w:szCs w:val="21"/>
                <w:highlight w:val="none"/>
              </w:rPr>
            </w:pPr>
            <w:r>
              <w:rPr>
                <w:rFonts w:hint="eastAsia" w:ascii="仿宋_GB2312" w:hAnsi="仿宋_GB2312" w:eastAsia="仿宋_GB2312" w:cs="仿宋_GB2312"/>
                <w:color w:val="auto"/>
                <w:szCs w:val="21"/>
                <w:highlight w:val="none"/>
                <w:lang w:val="en-US" w:eastAsia="zh-CN"/>
              </w:rPr>
              <w:t>入驻政策性产业用房的企业，</w:t>
            </w:r>
            <w:r>
              <w:rPr>
                <w:rFonts w:hint="eastAsia" w:ascii="仿宋_GB2312" w:hAnsi="仿宋_GB2312" w:eastAsia="仿宋_GB2312" w:cs="仿宋_GB2312"/>
                <w:color w:val="auto"/>
                <w:szCs w:val="21"/>
                <w:highlight w:val="none"/>
              </w:rPr>
              <w:t>依条件享受相应租金优惠</w:t>
            </w:r>
          </w:p>
        </w:tc>
        <w:tc>
          <w:tcPr>
            <w:tcW w:w="2940" w:type="dxa"/>
            <w:noWrap w:val="0"/>
            <w:vAlign w:val="top"/>
          </w:tcPr>
          <w:p>
            <w:pPr>
              <w:keepNext w:val="0"/>
              <w:keepLines w:val="0"/>
              <w:pageBreakBefore w:val="0"/>
              <w:widowControl w:val="0"/>
              <w:kinsoku/>
              <w:wordWrap/>
              <w:overflowPunct/>
              <w:topLinePunct w:val="0"/>
              <w:autoSpaceDE/>
              <w:autoSpaceDN w:val="0"/>
              <w:bidi w:val="0"/>
              <w:adjustRightInd/>
              <w:snapToGrid/>
              <w:spacing w:line="240" w:lineRule="atLeast"/>
              <w:textAlignment w:val="auto"/>
              <w:rPr>
                <w:rFonts w:hint="eastAsia" w:ascii="仿宋_GB2312" w:hAnsi="仿宋_GB2312" w:eastAsia="仿宋_GB2312" w:cs="仿宋_GB2312"/>
                <w:b w:val="0"/>
                <w:color w:val="auto"/>
                <w:sz w:val="21"/>
                <w:szCs w:val="21"/>
                <w:highlight w:val="none"/>
              </w:rPr>
            </w:pPr>
            <w:r>
              <w:rPr>
                <w:rFonts w:hint="eastAsia" w:ascii="仿宋_GB2312" w:hAnsi="仿宋_GB2312" w:eastAsia="仿宋_GB2312" w:cs="仿宋_GB2312"/>
                <w:color w:val="auto"/>
                <w:szCs w:val="21"/>
                <w:highlight w:val="none"/>
              </w:rPr>
              <w:t>最低可按市场评估价的30%予以租赁，连续支持三年。</w:t>
            </w:r>
          </w:p>
        </w:tc>
        <w:tc>
          <w:tcPr>
            <w:tcW w:w="724" w:type="dxa"/>
            <w:noWrap w:val="0"/>
            <w:vAlign w:val="top"/>
          </w:tcPr>
          <w:p>
            <w:pPr>
              <w:keepNext w:val="0"/>
              <w:keepLines w:val="0"/>
              <w:pageBreakBefore w:val="0"/>
              <w:widowControl w:val="0"/>
              <w:kinsoku/>
              <w:wordWrap/>
              <w:overflowPunct/>
              <w:topLinePunct w:val="0"/>
              <w:autoSpaceDE/>
              <w:autoSpaceDN w:val="0"/>
              <w:bidi w:val="0"/>
              <w:adjustRightInd/>
              <w:snapToGrid/>
              <w:spacing w:line="240" w:lineRule="atLeast"/>
              <w:textAlignment w:val="auto"/>
              <w:rPr>
                <w:rFonts w:ascii="Arial" w:hAnsi="Times New Roman" w:eastAsia="宋体" w:cs="Times New Roman"/>
                <w:b/>
                <w:color w:val="auto"/>
                <w:sz w:val="1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2</w:t>
            </w:r>
          </w:p>
        </w:tc>
        <w:tc>
          <w:tcPr>
            <w:tcW w:w="11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专业楼宇</w:t>
            </w:r>
          </w:p>
        </w:tc>
        <w:tc>
          <w:tcPr>
            <w:tcW w:w="1095" w:type="dxa"/>
            <w:noWrap w:val="0"/>
            <w:vAlign w:val="center"/>
          </w:tcPr>
          <w:p>
            <w:pPr>
              <w:keepNext w:val="0"/>
              <w:keepLines w:val="0"/>
              <w:pageBreakBefore w:val="0"/>
              <w:widowControl w:val="0"/>
              <w:kinsoku/>
              <w:wordWrap/>
              <w:overflowPunct/>
              <w:topLinePunct w:val="0"/>
              <w:autoSpaceDE/>
              <w:autoSpaceDN w:val="0"/>
              <w:bidi w:val="0"/>
              <w:adjustRightInd/>
              <w:snapToGrid/>
              <w:spacing w:line="240" w:lineRule="atLeast"/>
              <w:jc w:val="center"/>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lang w:val="en-US" w:eastAsia="zh-CN"/>
              </w:rPr>
              <w:t>运营支持</w:t>
            </w:r>
          </w:p>
        </w:tc>
        <w:tc>
          <w:tcPr>
            <w:tcW w:w="4800" w:type="dxa"/>
            <w:noWrap w:val="0"/>
            <w:vAlign w:val="top"/>
          </w:tcPr>
          <w:p>
            <w:pPr>
              <w:keepNext w:val="0"/>
              <w:keepLines w:val="0"/>
              <w:pageBreakBefore w:val="0"/>
              <w:widowControl w:val="0"/>
              <w:kinsoku/>
              <w:wordWrap/>
              <w:overflowPunct/>
              <w:topLinePunct w:val="0"/>
              <w:autoSpaceDE/>
              <w:autoSpaceDN w:val="0"/>
              <w:bidi w:val="0"/>
              <w:adjustRightInd/>
              <w:snapToGrid/>
              <w:spacing w:line="240" w:lineRule="atLeast"/>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按运营机构对专业楼宇的投入情况及运营效益，根据楼宇的招商情况、服务质量、基建投入、单位面积综合贡献或产值等指标给予专业楼宇运营机构运营支持。</w:t>
            </w:r>
          </w:p>
        </w:tc>
        <w:tc>
          <w:tcPr>
            <w:tcW w:w="2940" w:type="dxa"/>
            <w:noWrap w:val="0"/>
            <w:vAlign w:val="top"/>
          </w:tcPr>
          <w:p>
            <w:pPr>
              <w:keepNext w:val="0"/>
              <w:keepLines w:val="0"/>
              <w:pageBreakBefore w:val="0"/>
              <w:widowControl w:val="0"/>
              <w:kinsoku/>
              <w:wordWrap/>
              <w:overflowPunct/>
              <w:topLinePunct w:val="0"/>
              <w:autoSpaceDE/>
              <w:autoSpaceDN w:val="0"/>
              <w:bidi w:val="0"/>
              <w:adjustRightInd/>
              <w:snapToGrid/>
              <w:spacing w:line="240" w:lineRule="atLeast"/>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lang w:val="en-US" w:eastAsia="zh-CN"/>
              </w:rPr>
              <w:t>给予每年最高500万元支持</w:t>
            </w:r>
            <w:r>
              <w:rPr>
                <w:rFonts w:hint="eastAsia" w:ascii="仿宋_GB2312" w:hAnsi="仿宋_GB2312" w:eastAsia="仿宋_GB2312" w:cs="仿宋_GB2312"/>
                <w:color w:val="auto"/>
                <w:szCs w:val="21"/>
                <w:highlight w:val="none"/>
              </w:rPr>
              <w:t>。</w:t>
            </w:r>
          </w:p>
        </w:tc>
        <w:tc>
          <w:tcPr>
            <w:tcW w:w="724" w:type="dxa"/>
            <w:noWrap w:val="0"/>
            <w:vAlign w:val="top"/>
          </w:tcPr>
          <w:p>
            <w:pPr>
              <w:keepNext w:val="0"/>
              <w:keepLines w:val="0"/>
              <w:pageBreakBefore w:val="0"/>
              <w:widowControl w:val="0"/>
              <w:kinsoku/>
              <w:wordWrap/>
              <w:overflowPunct/>
              <w:topLinePunct w:val="0"/>
              <w:autoSpaceDE/>
              <w:autoSpaceDN w:val="0"/>
              <w:bidi w:val="0"/>
              <w:adjustRightInd/>
              <w:snapToGrid/>
              <w:spacing w:line="240" w:lineRule="atLeast"/>
              <w:textAlignment w:val="auto"/>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3</w:t>
            </w:r>
          </w:p>
        </w:tc>
        <w:tc>
          <w:tcPr>
            <w:tcW w:w="11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仿宋_GB2312" w:hAnsi="仿宋_GB2312" w:eastAsia="仿宋_GB2312" w:cs="仿宋_GB2312"/>
                <w:b w:val="0"/>
                <w:color w:val="auto"/>
                <w:sz w:val="21"/>
                <w:szCs w:val="21"/>
                <w:highlight w:val="none"/>
                <w:lang w:eastAsia="zh-CN"/>
              </w:rPr>
            </w:pPr>
            <w:r>
              <w:rPr>
                <w:rFonts w:hint="eastAsia" w:ascii="仿宋_GB2312" w:hAnsi="仿宋_GB2312" w:eastAsia="仿宋_GB2312" w:cs="仿宋_GB2312"/>
                <w:b w:val="0"/>
                <w:color w:val="auto"/>
                <w:sz w:val="21"/>
                <w:szCs w:val="21"/>
                <w:highlight w:val="none"/>
                <w:lang w:val="en-US" w:eastAsia="zh-CN"/>
              </w:rPr>
              <w:t>物业联盟</w:t>
            </w:r>
          </w:p>
        </w:tc>
        <w:tc>
          <w:tcPr>
            <w:tcW w:w="1095" w:type="dxa"/>
            <w:noWrap w:val="0"/>
            <w:vAlign w:val="center"/>
          </w:tcPr>
          <w:p>
            <w:pPr>
              <w:keepNext w:val="0"/>
              <w:keepLines w:val="0"/>
              <w:pageBreakBefore w:val="0"/>
              <w:widowControl w:val="0"/>
              <w:kinsoku/>
              <w:wordWrap/>
              <w:overflowPunct/>
              <w:topLinePunct w:val="0"/>
              <w:autoSpaceDE/>
              <w:bidi w:val="0"/>
              <w:adjustRightInd/>
              <w:snapToGrid/>
              <w:spacing w:line="240" w:lineRule="atLeast"/>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活动支持</w:t>
            </w:r>
          </w:p>
          <w:p>
            <w:pPr>
              <w:keepNext w:val="0"/>
              <w:keepLines w:val="0"/>
              <w:pageBreakBefore w:val="0"/>
              <w:widowControl w:val="0"/>
              <w:kinsoku/>
              <w:wordWrap/>
              <w:overflowPunct/>
              <w:topLinePunct w:val="0"/>
              <w:autoSpaceDE/>
              <w:bidi w:val="0"/>
              <w:adjustRightInd/>
              <w:snapToGrid/>
              <w:spacing w:line="240" w:lineRule="atLeast"/>
              <w:jc w:val="center"/>
              <w:textAlignment w:val="auto"/>
              <w:rPr>
                <w:rFonts w:hint="default" w:ascii="仿宋_GB2312" w:hAnsi="仿宋_GB2312" w:eastAsia="仿宋_GB2312" w:cs="仿宋_GB2312"/>
                <w:color w:val="auto"/>
                <w:kern w:val="2"/>
                <w:sz w:val="21"/>
                <w:szCs w:val="21"/>
                <w:highlight w:val="none"/>
                <w:lang w:val="en-US" w:eastAsia="zh-CN" w:bidi="ar-SA"/>
              </w:rPr>
            </w:pPr>
          </w:p>
        </w:tc>
        <w:tc>
          <w:tcPr>
            <w:tcW w:w="4800" w:type="dxa"/>
            <w:noWrap w:val="0"/>
            <w:vAlign w:val="top"/>
          </w:tcPr>
          <w:p>
            <w:pPr>
              <w:keepNext w:val="0"/>
              <w:keepLines w:val="0"/>
              <w:pageBreakBefore w:val="0"/>
              <w:widowControl w:val="0"/>
              <w:kinsoku/>
              <w:wordWrap/>
              <w:overflowPunct/>
              <w:topLinePunct w:val="0"/>
              <w:autoSpaceDE/>
              <w:autoSpaceDN w:val="0"/>
              <w:bidi w:val="0"/>
              <w:adjustRightInd/>
              <w:snapToGrid/>
              <w:spacing w:line="240" w:lineRule="atLeast"/>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对物业联盟举办的招商推介、主题沙龙、资源对接等活动，经事前备案和事后审计，给予主办方</w:t>
            </w:r>
            <w:r>
              <w:rPr>
                <w:rFonts w:hint="eastAsia" w:ascii="仿宋_GB2312" w:hAnsi="仿宋_GB2312" w:eastAsia="仿宋_GB2312" w:cs="仿宋_GB2312"/>
                <w:color w:val="auto"/>
                <w:szCs w:val="21"/>
                <w:highlight w:val="none"/>
                <w:lang w:val="en-US" w:eastAsia="zh-CN"/>
              </w:rPr>
              <w:t>活动</w:t>
            </w:r>
            <w:r>
              <w:rPr>
                <w:rFonts w:hint="eastAsia" w:ascii="仿宋_GB2312" w:hAnsi="仿宋_GB2312" w:eastAsia="仿宋_GB2312" w:cs="仿宋_GB2312"/>
                <w:color w:val="auto"/>
                <w:szCs w:val="21"/>
                <w:highlight w:val="none"/>
              </w:rPr>
              <w:t>支持</w:t>
            </w:r>
            <w:r>
              <w:rPr>
                <w:rFonts w:hint="eastAsia" w:ascii="仿宋_GB2312" w:hAnsi="仿宋_GB2312" w:eastAsia="仿宋_GB2312" w:cs="仿宋_GB2312"/>
                <w:color w:val="auto"/>
                <w:szCs w:val="21"/>
                <w:highlight w:val="none"/>
                <w:lang w:eastAsia="zh-CN"/>
              </w:rPr>
              <w:t>。</w:t>
            </w:r>
          </w:p>
        </w:tc>
        <w:tc>
          <w:tcPr>
            <w:tcW w:w="2940" w:type="dxa"/>
            <w:noWrap w:val="0"/>
            <w:vAlign w:val="top"/>
          </w:tcPr>
          <w:p>
            <w:pPr>
              <w:keepNext w:val="0"/>
              <w:keepLines w:val="0"/>
              <w:pageBreakBefore w:val="0"/>
              <w:widowControl w:val="0"/>
              <w:kinsoku/>
              <w:wordWrap/>
              <w:overflowPunct/>
              <w:topLinePunct w:val="0"/>
              <w:autoSpaceDE/>
              <w:autoSpaceDN w:val="0"/>
              <w:bidi w:val="0"/>
              <w:adjustRightInd/>
              <w:snapToGrid/>
              <w:spacing w:line="240" w:lineRule="atLeast"/>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按活动专项审计核定金额的50%，单次活动最高10万元，全年累计支持最高100万元。</w:t>
            </w:r>
          </w:p>
        </w:tc>
        <w:tc>
          <w:tcPr>
            <w:tcW w:w="724" w:type="dxa"/>
            <w:noWrap w:val="0"/>
            <w:vAlign w:val="top"/>
          </w:tcPr>
          <w:p>
            <w:pPr>
              <w:keepNext w:val="0"/>
              <w:keepLines w:val="0"/>
              <w:pageBreakBefore w:val="0"/>
              <w:widowControl w:val="0"/>
              <w:kinsoku/>
              <w:wordWrap/>
              <w:overflowPunct/>
              <w:topLinePunct w:val="0"/>
              <w:autoSpaceDE/>
              <w:autoSpaceDN w:val="0"/>
              <w:bidi w:val="0"/>
              <w:adjustRightInd/>
              <w:snapToGrid/>
              <w:spacing w:line="240" w:lineRule="atLeast"/>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前置</w:t>
            </w:r>
          </w:p>
          <w:p>
            <w:pPr>
              <w:keepNext w:val="0"/>
              <w:keepLines w:val="0"/>
              <w:pageBreakBefore w:val="0"/>
              <w:widowControl w:val="0"/>
              <w:kinsoku/>
              <w:wordWrap/>
              <w:overflowPunct/>
              <w:topLinePunct w:val="0"/>
              <w:autoSpaceDE/>
              <w:autoSpaceDN w:val="0"/>
              <w:bidi w:val="0"/>
              <w:adjustRightInd/>
              <w:snapToGrid/>
              <w:spacing w:line="240" w:lineRule="atLeast"/>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4</w:t>
            </w:r>
          </w:p>
        </w:tc>
        <w:tc>
          <w:tcPr>
            <w:tcW w:w="11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仿宋_GB2312" w:hAnsi="仿宋_GB2312" w:eastAsia="仿宋_GB2312" w:cs="仿宋_GB2312"/>
                <w:b w:val="0"/>
                <w:color w:val="auto"/>
                <w:sz w:val="21"/>
                <w:szCs w:val="21"/>
                <w:highlight w:val="none"/>
                <w:lang w:eastAsia="zh-CN"/>
              </w:rPr>
            </w:pPr>
          </w:p>
        </w:tc>
        <w:tc>
          <w:tcPr>
            <w:tcW w:w="1095" w:type="dxa"/>
            <w:noWrap w:val="0"/>
            <w:vAlign w:val="center"/>
          </w:tcPr>
          <w:p>
            <w:pPr>
              <w:keepNext w:val="0"/>
              <w:keepLines w:val="0"/>
              <w:pageBreakBefore w:val="0"/>
              <w:widowControl w:val="0"/>
              <w:kinsoku/>
              <w:wordWrap/>
              <w:overflowPunct/>
              <w:topLinePunct w:val="0"/>
              <w:autoSpaceDE/>
              <w:bidi w:val="0"/>
              <w:adjustRightInd/>
              <w:snapToGrid/>
              <w:spacing w:line="240" w:lineRule="atLeast"/>
              <w:jc w:val="center"/>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年度评定</w:t>
            </w:r>
          </w:p>
          <w:p>
            <w:pPr>
              <w:keepNext w:val="0"/>
              <w:keepLines w:val="0"/>
              <w:pageBreakBefore w:val="0"/>
              <w:widowControl w:val="0"/>
              <w:kinsoku/>
              <w:wordWrap/>
              <w:overflowPunct/>
              <w:topLinePunct w:val="0"/>
              <w:autoSpaceDE/>
              <w:bidi w:val="0"/>
              <w:adjustRightInd/>
              <w:snapToGrid/>
              <w:spacing w:line="240" w:lineRule="atLeast"/>
              <w:jc w:val="center"/>
              <w:textAlignment w:val="auto"/>
              <w:rPr>
                <w:rFonts w:hint="eastAsia" w:ascii="仿宋_GB2312" w:hAnsi="仿宋_GB2312" w:eastAsia="仿宋_GB2312" w:cs="仿宋_GB2312"/>
                <w:color w:val="auto"/>
                <w:kern w:val="2"/>
                <w:sz w:val="21"/>
                <w:szCs w:val="21"/>
                <w:highlight w:val="none"/>
                <w:lang w:val="en-US" w:eastAsia="zh-CN" w:bidi="ar-SA"/>
              </w:rPr>
            </w:pPr>
          </w:p>
        </w:tc>
        <w:tc>
          <w:tcPr>
            <w:tcW w:w="4800" w:type="dxa"/>
            <w:noWrap w:val="0"/>
            <w:vAlign w:val="top"/>
          </w:tcPr>
          <w:p>
            <w:pPr>
              <w:keepNext w:val="0"/>
              <w:keepLines w:val="0"/>
              <w:pageBreakBefore w:val="0"/>
              <w:widowControl w:val="0"/>
              <w:kinsoku/>
              <w:wordWrap/>
              <w:overflowPunct/>
              <w:topLinePunct w:val="0"/>
              <w:autoSpaceDE/>
              <w:autoSpaceDN w:val="0"/>
              <w:bidi w:val="0"/>
              <w:adjustRightInd/>
              <w:snapToGrid/>
              <w:spacing w:line="240" w:lineRule="atLeast"/>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每年对经备案（认定）的物业联盟，内部有效的产业集合和产业生态链情况进行综合评定。</w:t>
            </w:r>
          </w:p>
        </w:tc>
        <w:tc>
          <w:tcPr>
            <w:tcW w:w="2940" w:type="dxa"/>
            <w:noWrap w:val="0"/>
            <w:vAlign w:val="top"/>
          </w:tcPr>
          <w:p>
            <w:pPr>
              <w:keepNext w:val="0"/>
              <w:keepLines w:val="0"/>
              <w:pageBreakBefore w:val="0"/>
              <w:widowControl w:val="0"/>
              <w:kinsoku/>
              <w:wordWrap/>
              <w:overflowPunct/>
              <w:topLinePunct w:val="0"/>
              <w:autoSpaceDE/>
              <w:autoSpaceDN w:val="0"/>
              <w:bidi w:val="0"/>
              <w:adjustRightInd/>
              <w:snapToGrid/>
              <w:spacing w:line="240" w:lineRule="atLeast"/>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按评定结果，每年给予不超过5家，每家最高10万元支持。</w:t>
            </w:r>
          </w:p>
        </w:tc>
        <w:tc>
          <w:tcPr>
            <w:tcW w:w="724" w:type="dxa"/>
            <w:noWrap w:val="0"/>
            <w:vAlign w:val="top"/>
          </w:tcPr>
          <w:p>
            <w:pPr>
              <w:keepNext w:val="0"/>
              <w:keepLines w:val="0"/>
              <w:pageBreakBefore w:val="0"/>
              <w:widowControl w:val="0"/>
              <w:kinsoku/>
              <w:wordWrap/>
              <w:overflowPunct/>
              <w:topLinePunct w:val="0"/>
              <w:autoSpaceDE/>
              <w:autoSpaceDN w:val="0"/>
              <w:bidi w:val="0"/>
              <w:adjustRightInd/>
              <w:snapToGrid/>
              <w:spacing w:line="240" w:lineRule="atLeast"/>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综合评定</w:t>
            </w:r>
          </w:p>
        </w:tc>
      </w:tr>
    </w:tbl>
    <w:p>
      <w:pPr>
        <w:keepNext w:val="0"/>
        <w:keepLines w:val="0"/>
        <w:pageBreakBefore w:val="0"/>
        <w:widowControl/>
        <w:kinsoku/>
        <w:wordWrap/>
        <w:overflowPunct/>
        <w:topLinePunct w:val="0"/>
        <w:autoSpaceDE/>
        <w:autoSpaceDN w:val="0"/>
        <w:bidi w:val="0"/>
        <w:adjustRightInd/>
        <w:snapToGrid/>
        <w:spacing w:line="560" w:lineRule="exact"/>
        <w:textAlignment w:val="auto"/>
        <w:rPr>
          <w:rFonts w:ascii="黑体" w:hAnsi="黑体" w:eastAsia="黑体" w:cs="Times New Roman"/>
          <w:color w:val="auto"/>
          <w:sz w:val="32"/>
          <w:szCs w:val="32"/>
          <w:highlight w:val="none"/>
        </w:rPr>
      </w:pP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ascii="Arial" w:hAnsi="Times New Roman" w:eastAsia="宋体" w:cs="Times New Roman"/>
          <w:color w:val="auto"/>
          <w:sz w:val="32"/>
          <w:szCs w:val="32"/>
          <w:highlight w:val="none"/>
        </w:rPr>
      </w:pPr>
      <w:r>
        <w:rPr>
          <w:rFonts w:ascii="黑体" w:hAnsi="黑体" w:eastAsia="黑体" w:cs="Times New Roman"/>
          <w:color w:val="auto"/>
          <w:sz w:val="32"/>
          <w:szCs w:val="32"/>
          <w:highlight w:val="none"/>
        </w:rPr>
        <w:t>四、支持项目和申请材料</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eastAsia" w:ascii="Arial" w:hAnsi="Times New Roman" w:eastAsia="楷体_GB2312" w:cs="Times New Roman"/>
          <w:b/>
          <w:bCs/>
          <w:color w:val="auto"/>
          <w:sz w:val="32"/>
          <w:szCs w:val="32"/>
          <w:highlight w:val="none"/>
          <w:lang w:val="en-US" w:eastAsia="zh-CN"/>
        </w:rPr>
      </w:pPr>
      <w:r>
        <w:rPr>
          <w:rFonts w:hint="eastAsia" w:ascii="楷体_GB2312" w:hAnsi="楷体_GB2312" w:eastAsia="楷体_GB2312" w:cs="Times New Roman"/>
          <w:b/>
          <w:bCs/>
          <w:color w:val="auto"/>
          <w:sz w:val="32"/>
          <w:szCs w:val="32"/>
          <w:highlight w:val="none"/>
          <w:lang w:eastAsia="zh-CN"/>
        </w:rPr>
        <w:t>（一）</w:t>
      </w:r>
      <w:r>
        <w:rPr>
          <w:rFonts w:hint="eastAsia" w:ascii="楷体_GB2312" w:hAnsi="楷体_GB2312" w:eastAsia="楷体_GB2312" w:cs="Times New Roman"/>
          <w:b/>
          <w:bCs/>
          <w:color w:val="auto"/>
          <w:sz w:val="32"/>
          <w:szCs w:val="32"/>
          <w:highlight w:val="none"/>
        </w:rPr>
        <w:t>政策性产业用房</w:t>
      </w:r>
      <w:r>
        <w:rPr>
          <w:rFonts w:hint="eastAsia" w:ascii="楷体_GB2312" w:hAnsi="楷体_GB2312" w:eastAsia="楷体_GB2312" w:cs="Times New Roman"/>
          <w:b/>
          <w:bCs/>
          <w:color w:val="auto"/>
          <w:sz w:val="32"/>
          <w:szCs w:val="32"/>
          <w:highlight w:val="none"/>
          <w:lang w:eastAsia="zh-CN"/>
        </w:rPr>
        <w:t>支持</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_GB2312" w:hAnsi="仿宋_GB2312" w:eastAsia="仿宋_GB2312" w:cs="Times New Roman"/>
          <w:color w:val="auto"/>
          <w:sz w:val="32"/>
          <w:szCs w:val="32"/>
          <w:highlight w:val="none"/>
        </w:rPr>
      </w:pPr>
      <w:r>
        <w:rPr>
          <w:rFonts w:ascii="仿宋_GB2312" w:hAnsi="仿宋_GB2312" w:eastAsia="仿宋_GB2312" w:cs="Times New Roman"/>
          <w:b/>
          <w:color w:val="auto"/>
          <w:sz w:val="32"/>
          <w:szCs w:val="32"/>
          <w:highlight w:val="none"/>
        </w:rPr>
        <w:t>项目说明：</w:t>
      </w:r>
      <w:r>
        <w:rPr>
          <w:rFonts w:hint="eastAsia" w:ascii="仿宋_GB2312" w:hAnsi="仿宋_GB2312" w:eastAsia="仿宋_GB2312" w:cs="仿宋_GB2312"/>
          <w:color w:val="auto"/>
          <w:sz w:val="32"/>
          <w:szCs w:val="32"/>
          <w:highlight w:val="none"/>
          <w:lang w:val="en-US" w:eastAsia="zh-CN"/>
        </w:rPr>
        <w:t>入驻</w:t>
      </w:r>
      <w:r>
        <w:rPr>
          <w:rFonts w:hint="eastAsia" w:ascii="仿宋_GB2312" w:hAnsi="仿宋_GB2312" w:eastAsia="仿宋_GB2312" w:cs="仿宋_GB2312"/>
          <w:color w:val="auto"/>
          <w:sz w:val="32"/>
          <w:szCs w:val="32"/>
          <w:highlight w:val="none"/>
        </w:rPr>
        <w:t>政策性产业用房</w:t>
      </w:r>
      <w:r>
        <w:rPr>
          <w:rFonts w:hint="eastAsia" w:ascii="仿宋_GB2312" w:hAnsi="仿宋_GB2312" w:eastAsia="仿宋_GB2312" w:cs="仿宋_GB2312"/>
          <w:color w:val="auto"/>
          <w:sz w:val="32"/>
          <w:szCs w:val="32"/>
          <w:highlight w:val="none"/>
          <w:lang w:eastAsia="zh-CN"/>
        </w:rPr>
        <w:t>的企业，</w:t>
      </w:r>
      <w:r>
        <w:rPr>
          <w:rFonts w:hint="eastAsia" w:ascii="仿宋_GB2312" w:hAnsi="仿宋_GB2312" w:eastAsia="仿宋_GB2312" w:cs="仿宋_GB2312"/>
          <w:color w:val="auto"/>
          <w:sz w:val="32"/>
          <w:szCs w:val="32"/>
          <w:highlight w:val="none"/>
        </w:rPr>
        <w:t>依条件享受相应租金优惠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Times New Roman"/>
          <w:color w:val="auto"/>
          <w:sz w:val="32"/>
          <w:szCs w:val="32"/>
          <w:highlight w:val="none"/>
        </w:rPr>
        <w:t>最低可按市场评估价的30%予以租赁，连续支持三年。</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Times New Roman"/>
          <w:b/>
          <w:color w:val="auto"/>
          <w:sz w:val="32"/>
          <w:szCs w:val="32"/>
          <w:highlight w:val="none"/>
          <w:lang w:val="en-US" w:eastAsia="zh-CN"/>
        </w:rPr>
        <w:t>申请条件：</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（1）入驻福田政策性产业用房的企业；</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（2）符合《福田区政府产业用房管理办法》、</w:t>
      </w:r>
      <w:r>
        <w:rPr>
          <w:rFonts w:ascii="仿宋_GB2312" w:hAnsi="仿宋_GB2312" w:eastAsia="仿宋_GB2312" w:cs="Times New Roman"/>
          <w:color w:val="auto"/>
          <w:sz w:val="32"/>
          <w:szCs w:val="32"/>
          <w:highlight w:val="none"/>
        </w:rPr>
        <w:t>《</w:t>
      </w:r>
      <w:r>
        <w:rPr>
          <w:rFonts w:hint="eastAsia" w:ascii="仿宋_GB2312" w:hAnsi="仿宋_GB2312" w:eastAsia="仿宋_GB2312" w:cs="Times New Roman"/>
          <w:color w:val="auto"/>
          <w:sz w:val="32"/>
          <w:szCs w:val="32"/>
          <w:highlight w:val="none"/>
        </w:rPr>
        <w:t>深圳市福田区产业空间资源协同管理暂行办法</w:t>
      </w:r>
      <w:r>
        <w:rPr>
          <w:rFonts w:ascii="仿宋_GB2312" w:hAnsi="仿宋_GB2312" w:eastAsia="仿宋_GB2312" w:cs="Times New Roman"/>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规定条件的企业。</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eastAsia"/>
          <w:color w:val="auto"/>
          <w:highlight w:val="none"/>
          <w:lang w:eastAsia="zh-CN"/>
        </w:rPr>
      </w:pPr>
      <w:r>
        <w:rPr>
          <w:rFonts w:hint="eastAsia" w:ascii="仿宋_GB2312" w:hAnsi="仿宋_GB2312" w:eastAsia="仿宋_GB2312" w:cs="Times New Roman"/>
          <w:b/>
          <w:color w:val="auto"/>
          <w:sz w:val="32"/>
          <w:szCs w:val="32"/>
          <w:highlight w:val="none"/>
          <w:lang w:eastAsia="zh-CN"/>
        </w:rPr>
        <w:t>申请材料：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256"/>
        <w:gridCol w:w="252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序号</w:t>
            </w:r>
          </w:p>
        </w:tc>
        <w:tc>
          <w:tcPr>
            <w:tcW w:w="42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材料名称</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材料要求</w:t>
            </w:r>
          </w:p>
        </w:tc>
        <w:tc>
          <w:tcPr>
            <w:tcW w:w="13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w:t>
            </w:r>
          </w:p>
        </w:tc>
        <w:tc>
          <w:tcPr>
            <w:tcW w:w="42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rPr>
              <w:t>福田区产业</w:t>
            </w:r>
            <w:r>
              <w:rPr>
                <w:rFonts w:hint="eastAsia" w:ascii="仿宋_GB2312" w:hAnsi="仿宋_GB2312" w:eastAsia="仿宋_GB2312" w:cs="仿宋_GB2312"/>
                <w:color w:val="auto"/>
                <w:szCs w:val="21"/>
                <w:highlight w:val="none"/>
                <w:lang w:eastAsia="zh-CN"/>
              </w:rPr>
              <w:t>用房支持</w:t>
            </w:r>
            <w:r>
              <w:rPr>
                <w:rFonts w:hint="eastAsia" w:ascii="仿宋_GB2312" w:hAnsi="仿宋_GB2312" w:eastAsia="仿宋_GB2312" w:cs="仿宋_GB2312"/>
                <w:color w:val="auto"/>
                <w:szCs w:val="21"/>
                <w:highlight w:val="none"/>
              </w:rPr>
              <w:t>申请表</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打印（盖章）</w:t>
            </w:r>
          </w:p>
        </w:tc>
        <w:tc>
          <w:tcPr>
            <w:tcW w:w="13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bCs/>
                <w:color w:val="auto"/>
                <w:szCs w:val="21"/>
                <w:highlight w:val="none"/>
              </w:rPr>
              <w:t>申报材料需全部</w:t>
            </w:r>
            <w:r>
              <w:rPr>
                <w:rFonts w:hint="eastAsia" w:ascii="仿宋_GB2312" w:hAnsi="仿宋_GB2312" w:eastAsia="仿宋_GB2312" w:cs="仿宋_GB2312"/>
                <w:bCs/>
                <w:color w:val="auto"/>
                <w:szCs w:val="21"/>
                <w:highlight w:val="none"/>
                <w:lang w:eastAsia="zh-CN"/>
              </w:rPr>
              <w:t>提交</w:t>
            </w:r>
            <w:r>
              <w:rPr>
                <w:rFonts w:hint="eastAsia" w:ascii="仿宋_GB2312" w:hAnsi="仿宋_GB2312" w:eastAsia="仿宋_GB2312" w:cs="仿宋_GB2312"/>
                <w:bCs/>
                <w:color w:val="auto"/>
                <w:szCs w:val="21"/>
                <w:highlight w:val="none"/>
              </w:rPr>
              <w:t>电子文档</w:t>
            </w:r>
            <w:r>
              <w:rPr>
                <w:rFonts w:hint="eastAsia" w:ascii="仿宋_GB2312" w:hAnsi="仿宋_GB2312" w:eastAsia="仿宋_GB2312" w:cs="仿宋_GB2312"/>
                <w:bCs/>
                <w:color w:val="auto"/>
                <w:szCs w:val="21"/>
                <w:highlight w:val="none"/>
                <w:lang w:eastAsia="zh-CN"/>
              </w:rPr>
              <w:t>和纸质申请材料各一套</w:t>
            </w:r>
            <w:r>
              <w:rPr>
                <w:rFonts w:hint="eastAsia" w:ascii="仿宋_GB2312" w:hAnsi="仿宋_GB2312" w:eastAsia="仿宋_GB2312" w:cs="仿宋_GB2312"/>
                <w:bCs/>
                <w:color w:val="auto"/>
                <w:szCs w:val="21"/>
                <w:highlight w:val="none"/>
              </w:rPr>
              <w:t>，电子文档的命名与材料名称一致。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89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w:t>
            </w:r>
          </w:p>
        </w:tc>
        <w:tc>
          <w:tcPr>
            <w:tcW w:w="425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企业</w:t>
            </w:r>
            <w:r>
              <w:rPr>
                <w:rFonts w:hint="eastAsia" w:ascii="仿宋_GB2312" w:hAnsi="仿宋_GB2312" w:eastAsia="仿宋_GB2312" w:cs="仿宋_GB2312"/>
                <w:color w:val="auto"/>
                <w:szCs w:val="21"/>
                <w:highlight w:val="none"/>
                <w:lang w:eastAsia="zh-CN"/>
              </w:rPr>
              <w:t>申请政府产业用房的报告</w:t>
            </w:r>
          </w:p>
        </w:tc>
        <w:tc>
          <w:tcPr>
            <w:tcW w:w="252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原件（盖章）</w:t>
            </w:r>
          </w:p>
        </w:tc>
        <w:tc>
          <w:tcPr>
            <w:tcW w:w="1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89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3</w:t>
            </w:r>
          </w:p>
        </w:tc>
        <w:tc>
          <w:tcPr>
            <w:tcW w:w="425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rPr>
            </w:pPr>
            <w:r>
              <w:rPr>
                <w:rFonts w:hint="eastAsia" w:ascii="仿宋_GB2312" w:eastAsia="仿宋_GB2312"/>
                <w:color w:val="auto"/>
                <w:szCs w:val="21"/>
                <w:highlight w:val="none"/>
              </w:rPr>
              <w:t>申请单位证照（</w:t>
            </w:r>
            <w:r>
              <w:rPr>
                <w:rFonts w:hint="eastAsia" w:ascii="仿宋_GB2312" w:eastAsia="仿宋_GB2312"/>
                <w:color w:val="auto"/>
                <w:szCs w:val="21"/>
                <w:highlight w:val="none"/>
                <w:lang w:eastAsia="zh-CN"/>
              </w:rPr>
              <w:t>含社会团体法人登记证书</w:t>
            </w:r>
            <w:r>
              <w:rPr>
                <w:rFonts w:hint="eastAsia" w:ascii="仿宋_GB2312" w:eastAsia="仿宋_GB2312"/>
                <w:color w:val="auto"/>
                <w:szCs w:val="21"/>
                <w:highlight w:val="none"/>
                <w:lang w:val="en-US" w:eastAsia="zh-CN"/>
              </w:rPr>
              <w:t>/机构代码证、税务登记证或</w:t>
            </w:r>
            <w:r>
              <w:rPr>
                <w:rFonts w:ascii="仿宋_GB2312" w:eastAsia="仿宋_GB2312"/>
                <w:color w:val="auto"/>
                <w:szCs w:val="21"/>
                <w:highlight w:val="none"/>
              </w:rPr>
              <w:t>三证合一</w:t>
            </w:r>
            <w:r>
              <w:rPr>
                <w:rFonts w:hint="eastAsia" w:ascii="仿宋_GB2312" w:eastAsia="仿宋_GB2312"/>
                <w:color w:val="auto"/>
                <w:szCs w:val="21"/>
                <w:highlight w:val="none"/>
                <w:lang w:eastAsia="zh-CN"/>
              </w:rPr>
              <w:t>证照</w:t>
            </w:r>
            <w:r>
              <w:rPr>
                <w:rFonts w:hint="eastAsia" w:ascii="仿宋_GB2312" w:eastAsia="仿宋_GB2312"/>
                <w:color w:val="auto"/>
                <w:szCs w:val="21"/>
                <w:highlight w:val="none"/>
              </w:rPr>
              <w:t>）</w:t>
            </w:r>
          </w:p>
        </w:tc>
        <w:tc>
          <w:tcPr>
            <w:tcW w:w="252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验原件交复印件（盖章）</w:t>
            </w:r>
          </w:p>
        </w:tc>
        <w:tc>
          <w:tcPr>
            <w:tcW w:w="1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4</w:t>
            </w:r>
          </w:p>
        </w:tc>
        <w:tc>
          <w:tcPr>
            <w:tcW w:w="42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税务部门开具的企业</w:t>
            </w:r>
            <w:r>
              <w:rPr>
                <w:rFonts w:hint="eastAsia" w:ascii="仿宋_GB2312" w:hAnsi="仿宋_GB2312" w:eastAsia="仿宋_GB2312" w:cs="仿宋_GB2312"/>
                <w:color w:val="auto"/>
                <w:szCs w:val="21"/>
                <w:highlight w:val="none"/>
                <w:lang w:eastAsia="zh-CN"/>
              </w:rPr>
              <w:t>近两</w:t>
            </w:r>
            <w:r>
              <w:rPr>
                <w:rFonts w:hint="eastAsia" w:ascii="仿宋_GB2312" w:hAnsi="仿宋_GB2312" w:eastAsia="仿宋_GB2312" w:cs="仿宋_GB2312"/>
                <w:color w:val="auto"/>
                <w:szCs w:val="21"/>
                <w:highlight w:val="none"/>
              </w:rPr>
              <w:t>年纳税证明</w:t>
            </w:r>
            <w:r>
              <w:rPr>
                <w:rFonts w:hint="eastAsia" w:ascii="仿宋_GB2312" w:hAnsi="仿宋_GB2312" w:eastAsia="仿宋_GB2312" w:cs="仿宋_GB2312"/>
                <w:color w:val="auto"/>
                <w:szCs w:val="21"/>
                <w:highlight w:val="none"/>
                <w:lang w:eastAsia="zh-CN"/>
              </w:rPr>
              <w:t>、完税证明（如有）</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打印（盖章）</w:t>
            </w:r>
          </w:p>
        </w:tc>
        <w:tc>
          <w:tcPr>
            <w:tcW w:w="1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5</w:t>
            </w:r>
          </w:p>
        </w:tc>
        <w:tc>
          <w:tcPr>
            <w:tcW w:w="42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eastAsia="zh-CN"/>
              </w:rPr>
              <w:t>市区总部企业、</w:t>
            </w:r>
            <w:r>
              <w:rPr>
                <w:rFonts w:hint="eastAsia" w:ascii="仿宋_GB2312" w:hAnsi="仿宋_GB2312" w:eastAsia="仿宋_GB2312" w:cs="仿宋_GB2312"/>
                <w:color w:val="auto"/>
                <w:szCs w:val="21"/>
                <w:highlight w:val="none"/>
              </w:rPr>
              <w:t>金融机构</w:t>
            </w:r>
            <w:r>
              <w:rPr>
                <w:rFonts w:hint="eastAsia" w:ascii="仿宋_GB2312" w:hAnsi="仿宋_GB2312" w:eastAsia="仿宋_GB2312" w:cs="仿宋_GB2312"/>
                <w:color w:val="auto"/>
                <w:szCs w:val="21"/>
                <w:highlight w:val="none"/>
                <w:lang w:eastAsia="zh-CN"/>
              </w:rPr>
              <w:t>牌照</w:t>
            </w:r>
            <w:r>
              <w:rPr>
                <w:rFonts w:hint="eastAsia" w:ascii="仿宋_GB2312" w:hAnsi="仿宋_GB2312" w:eastAsia="仿宋_GB2312" w:cs="仿宋_GB2312"/>
                <w:color w:val="auto"/>
                <w:szCs w:val="21"/>
                <w:highlight w:val="none"/>
              </w:rPr>
              <w:t>、先进制造业</w:t>
            </w:r>
            <w:r>
              <w:rPr>
                <w:rFonts w:hint="eastAsia" w:ascii="仿宋_GB2312" w:hAnsi="仿宋_GB2312" w:eastAsia="仿宋_GB2312" w:cs="仿宋_GB2312"/>
                <w:color w:val="auto"/>
                <w:szCs w:val="21"/>
                <w:highlight w:val="none"/>
                <w:lang w:eastAsia="zh-CN"/>
              </w:rPr>
              <w:t>企业</w:t>
            </w:r>
            <w:r>
              <w:rPr>
                <w:rFonts w:hint="eastAsia" w:ascii="仿宋_GB2312" w:hAnsi="仿宋_GB2312" w:eastAsia="仿宋_GB2312" w:cs="仿宋_GB2312"/>
                <w:color w:val="auto"/>
                <w:szCs w:val="21"/>
                <w:highlight w:val="none"/>
              </w:rPr>
              <w:t>、技术先进型服务企业、国家高新技术企业</w:t>
            </w:r>
            <w:r>
              <w:rPr>
                <w:rFonts w:hint="eastAsia" w:ascii="仿宋_GB2312" w:hAnsi="仿宋_GB2312" w:eastAsia="仿宋_GB2312" w:cs="仿宋_GB2312"/>
                <w:color w:val="auto"/>
                <w:szCs w:val="21"/>
                <w:highlight w:val="none"/>
                <w:lang w:eastAsia="zh-CN"/>
              </w:rPr>
              <w:t>等证明材料（如有）</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验原件交复印件（盖章）</w:t>
            </w:r>
          </w:p>
        </w:tc>
        <w:tc>
          <w:tcPr>
            <w:tcW w:w="1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6</w:t>
            </w:r>
          </w:p>
        </w:tc>
        <w:tc>
          <w:tcPr>
            <w:tcW w:w="42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rPr>
              <w:t>高端创新资源</w:t>
            </w:r>
            <w:r>
              <w:rPr>
                <w:rFonts w:hint="eastAsia" w:ascii="仿宋_GB2312" w:hAnsi="仿宋_GB2312" w:eastAsia="仿宋_GB2312" w:cs="仿宋_GB2312"/>
                <w:color w:val="auto"/>
                <w:szCs w:val="21"/>
                <w:highlight w:val="none"/>
                <w:lang w:eastAsia="zh-CN"/>
              </w:rPr>
              <w:t>载体证明材料或其他主管部门要求补充提交的证明材料（如有）</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验原件交复印件（盖章）</w:t>
            </w:r>
          </w:p>
        </w:tc>
        <w:tc>
          <w:tcPr>
            <w:tcW w:w="1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7</w:t>
            </w:r>
          </w:p>
        </w:tc>
        <w:tc>
          <w:tcPr>
            <w:tcW w:w="42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eastAsia="zh-CN"/>
              </w:rPr>
              <w:t>企业不迁离福田的承诺函</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打印（盖章）</w:t>
            </w:r>
          </w:p>
        </w:tc>
        <w:tc>
          <w:tcPr>
            <w:tcW w:w="1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8</w:t>
            </w:r>
          </w:p>
        </w:tc>
        <w:tc>
          <w:tcPr>
            <w:tcW w:w="42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eastAsia="zh-CN"/>
              </w:rPr>
              <w:t>信用信息报告（信用中国网站打印）</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打印（盖章）</w:t>
            </w:r>
          </w:p>
        </w:tc>
        <w:tc>
          <w:tcPr>
            <w:tcW w:w="1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9</w:t>
            </w:r>
          </w:p>
        </w:tc>
        <w:tc>
          <w:tcPr>
            <w:tcW w:w="42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eastAsia="zh-CN"/>
              </w:rPr>
              <w:t>区主管部门要求提供的其他材料</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打印（盖章）</w:t>
            </w:r>
          </w:p>
        </w:tc>
        <w:tc>
          <w:tcPr>
            <w:tcW w:w="1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Cs w:val="21"/>
                <w:highlight w:val="none"/>
              </w:rPr>
            </w:pPr>
          </w:p>
        </w:tc>
      </w:tr>
    </w:tbl>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ascii="仿宋_GB2312" w:hAnsi="仿宋_GB2312" w:eastAsia="仿宋_GB2312" w:cs="Times New Roman"/>
          <w:b/>
          <w:color w:val="auto"/>
          <w:sz w:val="32"/>
          <w:szCs w:val="32"/>
          <w:highlight w:val="none"/>
        </w:rPr>
      </w:pPr>
      <w:r>
        <w:rPr>
          <w:rFonts w:hint="eastAsia" w:ascii="仿宋_GB2312" w:hAnsi="仿宋_GB2312" w:eastAsia="仿宋_GB2312" w:cs="Times New Roman"/>
          <w:b/>
          <w:color w:val="auto"/>
          <w:sz w:val="32"/>
          <w:szCs w:val="32"/>
          <w:highlight w:val="none"/>
          <w:lang w:val="en-US" w:eastAsia="zh-CN"/>
        </w:rPr>
        <w:t>申请途径</w:t>
      </w:r>
      <w:r>
        <w:rPr>
          <w:rFonts w:ascii="仿宋_GB2312" w:hAnsi="仿宋_GB2312" w:eastAsia="仿宋_GB2312" w:cs="Times New Roman"/>
          <w:b/>
          <w:color w:val="auto"/>
          <w:sz w:val="32"/>
          <w:szCs w:val="32"/>
          <w:highlight w:val="none"/>
        </w:rPr>
        <w:t>：</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eastAsia" w:ascii="楷体_GB2312" w:hAnsi="楷体_GB2312" w:eastAsia="楷体_GB2312" w:cs="Times New Roman"/>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企业登录http://pnr.sz.gov.cn/d-cyyf/深圳产业用地用房供需平台，根据《福田区政府产业用房管理办法》相关规定进行在线申报，通过初审后，线下向区行业主管部门提交上述申请材料。</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default" w:ascii="Arial" w:hAnsi="Times New Roman" w:eastAsia="楷体_GB2312" w:cs="Times New Roman"/>
          <w:b/>
          <w:bCs/>
          <w:color w:val="auto"/>
          <w:sz w:val="32"/>
          <w:szCs w:val="32"/>
          <w:highlight w:val="yellow"/>
          <w:lang w:val="en-US" w:eastAsia="zh-CN"/>
        </w:rPr>
      </w:pPr>
      <w:r>
        <w:rPr>
          <w:rFonts w:hint="eastAsia" w:ascii="楷体_GB2312" w:hAnsi="楷体_GB2312" w:eastAsia="楷体_GB2312" w:cs="Times New Roman"/>
          <w:b/>
          <w:bCs/>
          <w:color w:val="auto"/>
          <w:sz w:val="32"/>
          <w:szCs w:val="32"/>
          <w:highlight w:val="yellow"/>
          <w:lang w:val="en-US" w:eastAsia="zh-CN"/>
        </w:rPr>
        <w:t>（二）专业楼宇运营支持</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yellow"/>
          <w:lang w:val="en-US" w:eastAsia="zh-CN"/>
        </w:rPr>
      </w:pPr>
      <w:r>
        <w:rPr>
          <w:rFonts w:ascii="仿宋_GB2312" w:hAnsi="仿宋_GB2312" w:eastAsia="仿宋_GB2312" w:cs="Times New Roman"/>
          <w:b/>
          <w:color w:val="auto"/>
          <w:sz w:val="32"/>
          <w:szCs w:val="32"/>
          <w:highlight w:val="yellow"/>
        </w:rPr>
        <w:t>项目说明：</w:t>
      </w:r>
      <w:r>
        <w:rPr>
          <w:rFonts w:hint="eastAsia" w:ascii="仿宋_GB2312" w:hAnsi="仿宋_GB2312" w:eastAsia="仿宋_GB2312" w:cs="仿宋_GB2312"/>
          <w:color w:val="auto"/>
          <w:sz w:val="32"/>
          <w:szCs w:val="32"/>
          <w:highlight w:val="yellow"/>
          <w:lang w:val="en-US" w:eastAsia="zh-CN"/>
        </w:rPr>
        <w:t>对专业楼宇运营机构的招商情况、服务质量、基建投入、单位面积综合贡献或产值等指标考核，根据考核结果，给予每年最高500万元支持。</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Times New Roman"/>
          <w:b/>
          <w:color w:val="auto"/>
          <w:sz w:val="32"/>
          <w:szCs w:val="32"/>
          <w:highlight w:val="yellow"/>
          <w:lang w:val="en-US" w:eastAsia="zh-CN"/>
        </w:rPr>
        <w:t>申请条件：</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yellow"/>
          <w:lang w:val="en-US" w:eastAsia="zh-CN"/>
        </w:rPr>
        <w:t>（1）区政府认定的专业楼宇；</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yellow"/>
          <w:lang w:val="en-US" w:eastAsia="zh-CN"/>
        </w:rPr>
        <w:t>（2）已与主管部门签订监管协议。</w:t>
      </w:r>
    </w:p>
    <w:p>
      <w:pPr>
        <w:pStyle w:val="2"/>
        <w:numPr>
          <w:ilvl w:val="0"/>
          <w:numId w:val="0"/>
        </w:numPr>
        <w:ind w:firstLine="643" w:firstLineChars="200"/>
        <w:rPr>
          <w:rFonts w:hint="default" w:ascii="仿宋_GB2312" w:hAnsi="仿宋_GB2312" w:eastAsia="仿宋_GB2312" w:cs="Times New Roman"/>
          <w:b w:val="0"/>
          <w:bCs/>
          <w:color w:val="auto"/>
          <w:sz w:val="32"/>
          <w:szCs w:val="32"/>
          <w:highlight w:val="none"/>
          <w:lang w:val="en-US" w:eastAsia="zh-CN"/>
        </w:rPr>
      </w:pPr>
      <w:r>
        <w:rPr>
          <w:rFonts w:ascii="仿宋_GB2312" w:hAnsi="仿宋_GB2312" w:eastAsia="仿宋_GB2312" w:cs="Times New Roman"/>
          <w:b/>
          <w:color w:val="auto"/>
          <w:sz w:val="32"/>
          <w:szCs w:val="32"/>
          <w:highlight w:val="none"/>
        </w:rPr>
        <w:t>申报材料：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256"/>
        <w:gridCol w:w="252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2" w:type="dxa"/>
            <w:noWrap w:val="0"/>
            <w:vAlign w:val="center"/>
          </w:tcPr>
          <w:p>
            <w:pPr>
              <w:spacing w:line="480" w:lineRule="exact"/>
              <w:jc w:val="center"/>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序号</w:t>
            </w:r>
          </w:p>
        </w:tc>
        <w:tc>
          <w:tcPr>
            <w:tcW w:w="4256" w:type="dxa"/>
            <w:noWrap w:val="0"/>
            <w:vAlign w:val="center"/>
          </w:tcPr>
          <w:p>
            <w:pPr>
              <w:spacing w:line="480" w:lineRule="exact"/>
              <w:jc w:val="center"/>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材料名称</w:t>
            </w:r>
          </w:p>
        </w:tc>
        <w:tc>
          <w:tcPr>
            <w:tcW w:w="2521" w:type="dxa"/>
            <w:noWrap w:val="0"/>
            <w:vAlign w:val="center"/>
          </w:tcPr>
          <w:p>
            <w:pPr>
              <w:spacing w:line="480" w:lineRule="exact"/>
              <w:jc w:val="center"/>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材料要求</w:t>
            </w:r>
          </w:p>
        </w:tc>
        <w:tc>
          <w:tcPr>
            <w:tcW w:w="1360" w:type="dxa"/>
            <w:noWrap w:val="0"/>
            <w:vAlign w:val="center"/>
          </w:tcPr>
          <w:p>
            <w:pPr>
              <w:spacing w:line="480" w:lineRule="exact"/>
              <w:jc w:val="center"/>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jc w:val="center"/>
        </w:trPr>
        <w:tc>
          <w:tcPr>
            <w:tcW w:w="892" w:type="dxa"/>
            <w:noWrap w:val="0"/>
            <w:vAlign w:val="center"/>
          </w:tcPr>
          <w:p>
            <w:pPr>
              <w:spacing w:line="480" w:lineRule="exact"/>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w:t>
            </w:r>
          </w:p>
        </w:tc>
        <w:tc>
          <w:tcPr>
            <w:tcW w:w="4256" w:type="dxa"/>
            <w:noWrap w:val="0"/>
            <w:vAlign w:val="center"/>
          </w:tcPr>
          <w:p>
            <w:pPr>
              <w:spacing w:line="280" w:lineRule="exact"/>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福田区产业发展专项资金申请表</w:t>
            </w:r>
          </w:p>
        </w:tc>
        <w:tc>
          <w:tcPr>
            <w:tcW w:w="2521" w:type="dxa"/>
            <w:noWrap w:val="0"/>
            <w:vAlign w:val="center"/>
          </w:tcPr>
          <w:p>
            <w:pPr>
              <w:spacing w:line="28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原件（盖章）</w:t>
            </w:r>
          </w:p>
        </w:tc>
        <w:tc>
          <w:tcPr>
            <w:tcW w:w="1360" w:type="dxa"/>
            <w:vMerge w:val="restart"/>
            <w:noWrap w:val="0"/>
            <w:vAlign w:val="center"/>
          </w:tcPr>
          <w:p>
            <w:pPr>
              <w:spacing w:line="280" w:lineRule="exact"/>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bCs/>
                <w:color w:val="auto"/>
                <w:szCs w:val="21"/>
                <w:highlight w:val="none"/>
              </w:rPr>
              <w:t>申报材料需全部</w:t>
            </w:r>
            <w:r>
              <w:rPr>
                <w:rFonts w:hint="eastAsia" w:ascii="仿宋_GB2312" w:hAnsi="仿宋_GB2312" w:eastAsia="仿宋_GB2312" w:cs="仿宋_GB2312"/>
                <w:bCs/>
                <w:color w:val="auto"/>
                <w:szCs w:val="21"/>
                <w:highlight w:val="none"/>
                <w:lang w:eastAsia="zh-CN"/>
              </w:rPr>
              <w:t>提交</w:t>
            </w:r>
            <w:r>
              <w:rPr>
                <w:rFonts w:hint="eastAsia" w:ascii="仿宋_GB2312" w:hAnsi="仿宋_GB2312" w:eastAsia="仿宋_GB2312" w:cs="仿宋_GB2312"/>
                <w:bCs/>
                <w:color w:val="auto"/>
                <w:szCs w:val="21"/>
                <w:highlight w:val="none"/>
              </w:rPr>
              <w:t>电子文档</w:t>
            </w:r>
            <w:r>
              <w:rPr>
                <w:rFonts w:hint="eastAsia" w:ascii="仿宋_GB2312" w:hAnsi="仿宋_GB2312" w:eastAsia="仿宋_GB2312" w:cs="仿宋_GB2312"/>
                <w:bCs/>
                <w:color w:val="auto"/>
                <w:szCs w:val="21"/>
                <w:highlight w:val="none"/>
                <w:lang w:eastAsia="zh-CN"/>
              </w:rPr>
              <w:t>和纸质申请材料各一套</w:t>
            </w:r>
            <w:r>
              <w:rPr>
                <w:rFonts w:hint="eastAsia" w:ascii="仿宋_GB2312" w:hAnsi="仿宋_GB2312" w:eastAsia="仿宋_GB2312" w:cs="仿宋_GB2312"/>
                <w:bCs/>
                <w:color w:val="auto"/>
                <w:szCs w:val="21"/>
                <w:highlight w:val="none"/>
              </w:rPr>
              <w:t>，电子文档的命名与材料名称一致。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892" w:type="dxa"/>
            <w:tcBorders>
              <w:bottom w:val="single" w:color="auto" w:sz="4" w:space="0"/>
            </w:tcBorders>
            <w:noWrap w:val="0"/>
            <w:vAlign w:val="center"/>
          </w:tcPr>
          <w:p>
            <w:pPr>
              <w:spacing w:line="480" w:lineRule="exact"/>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w:t>
            </w:r>
          </w:p>
        </w:tc>
        <w:tc>
          <w:tcPr>
            <w:tcW w:w="4256" w:type="dxa"/>
            <w:tcBorders>
              <w:bottom w:val="single" w:color="auto" w:sz="4" w:space="0"/>
            </w:tcBorders>
            <w:noWrap w:val="0"/>
            <w:vAlign w:val="center"/>
          </w:tcPr>
          <w:p>
            <w:pPr>
              <w:spacing w:line="280" w:lineRule="exac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eastAsia="仿宋_GB2312"/>
                <w:color w:val="auto"/>
                <w:szCs w:val="21"/>
                <w:highlight w:val="none"/>
              </w:rPr>
              <w:t>申请单位证照（</w:t>
            </w:r>
            <w:r>
              <w:rPr>
                <w:rFonts w:hint="eastAsia" w:ascii="仿宋_GB2312" w:eastAsia="仿宋_GB2312"/>
                <w:color w:val="auto"/>
                <w:szCs w:val="21"/>
                <w:highlight w:val="none"/>
                <w:lang w:eastAsia="zh-CN"/>
              </w:rPr>
              <w:t>含社会团体法人登记证书</w:t>
            </w:r>
            <w:r>
              <w:rPr>
                <w:rFonts w:hint="eastAsia" w:ascii="仿宋_GB2312" w:eastAsia="仿宋_GB2312"/>
                <w:color w:val="auto"/>
                <w:szCs w:val="21"/>
                <w:highlight w:val="none"/>
                <w:lang w:val="en-US" w:eastAsia="zh-CN"/>
              </w:rPr>
              <w:t>/机构代码证、税务登记证或</w:t>
            </w:r>
            <w:r>
              <w:rPr>
                <w:rFonts w:ascii="仿宋_GB2312" w:eastAsia="仿宋_GB2312"/>
                <w:color w:val="auto"/>
                <w:szCs w:val="21"/>
                <w:highlight w:val="none"/>
              </w:rPr>
              <w:t>三证合一</w:t>
            </w:r>
            <w:r>
              <w:rPr>
                <w:rFonts w:hint="eastAsia" w:ascii="仿宋_GB2312" w:eastAsia="仿宋_GB2312"/>
                <w:color w:val="auto"/>
                <w:szCs w:val="21"/>
                <w:highlight w:val="none"/>
                <w:lang w:eastAsia="zh-CN"/>
              </w:rPr>
              <w:t>证照</w:t>
            </w:r>
            <w:r>
              <w:rPr>
                <w:rFonts w:hint="eastAsia" w:ascii="仿宋_GB2312" w:eastAsia="仿宋_GB2312"/>
                <w:color w:val="auto"/>
                <w:szCs w:val="21"/>
                <w:highlight w:val="none"/>
              </w:rPr>
              <w:t>）</w:t>
            </w:r>
          </w:p>
        </w:tc>
        <w:tc>
          <w:tcPr>
            <w:tcW w:w="2521" w:type="dxa"/>
            <w:tcBorders>
              <w:bottom w:val="single" w:color="auto" w:sz="4" w:space="0"/>
            </w:tcBorders>
            <w:noWrap w:val="0"/>
            <w:vAlign w:val="center"/>
          </w:tcPr>
          <w:p>
            <w:pPr>
              <w:spacing w:line="28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验原件交复印件（盖章）</w:t>
            </w:r>
          </w:p>
        </w:tc>
        <w:tc>
          <w:tcPr>
            <w:tcW w:w="1360" w:type="dxa"/>
            <w:vMerge w:val="continue"/>
            <w:noWrap w:val="0"/>
            <w:vAlign w:val="center"/>
          </w:tcPr>
          <w:p>
            <w:pPr>
              <w:spacing w:line="280" w:lineRule="exact"/>
              <w:jc w:val="lef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exact"/>
          <w:jc w:val="center"/>
        </w:trPr>
        <w:tc>
          <w:tcPr>
            <w:tcW w:w="892" w:type="dxa"/>
            <w:tcBorders>
              <w:bottom w:val="single" w:color="auto" w:sz="4" w:space="0"/>
            </w:tcBorders>
            <w:noWrap w:val="0"/>
            <w:vAlign w:val="center"/>
          </w:tcPr>
          <w:p>
            <w:pPr>
              <w:spacing w:line="480" w:lineRule="exact"/>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3</w:t>
            </w:r>
          </w:p>
        </w:tc>
        <w:tc>
          <w:tcPr>
            <w:tcW w:w="4256" w:type="dxa"/>
            <w:tcBorders>
              <w:bottom w:val="single" w:color="auto" w:sz="4" w:space="0"/>
            </w:tcBorders>
            <w:noWrap w:val="0"/>
            <w:vAlign w:val="center"/>
          </w:tcPr>
          <w:p>
            <w:pPr>
              <w:pStyle w:val="5"/>
              <w:snapToGrid w:val="0"/>
              <w:ind w:firstLine="0" w:firstLineChars="0"/>
              <w:jc w:val="left"/>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根据申请细项选择提交如下资料</w:t>
            </w:r>
            <w:r>
              <w:rPr>
                <w:rFonts w:hint="eastAsia" w:ascii="仿宋_GB2312" w:hAnsi="仿宋_GB2312" w:eastAsia="仿宋_GB2312" w:cs="仿宋_GB2312"/>
                <w:color w:val="auto"/>
                <w:kern w:val="0"/>
                <w:szCs w:val="21"/>
                <w:highlight w:val="none"/>
                <w:lang w:eastAsia="zh-CN" w:bidi="ar"/>
              </w:rPr>
              <w:t>（</w:t>
            </w:r>
            <w:r>
              <w:rPr>
                <w:rFonts w:hint="eastAsia" w:ascii="仿宋_GB2312" w:hAnsi="仿宋_GB2312" w:eastAsia="仿宋_GB2312" w:cs="仿宋_GB2312"/>
                <w:color w:val="auto"/>
                <w:kern w:val="0"/>
                <w:szCs w:val="21"/>
                <w:highlight w:val="none"/>
                <w:lang w:bidi="ar"/>
              </w:rPr>
              <w:t>分两次拨付</w:t>
            </w:r>
            <w:r>
              <w:rPr>
                <w:rFonts w:hint="eastAsia" w:ascii="仿宋_GB2312" w:hAnsi="仿宋_GB2312" w:eastAsia="仿宋_GB2312" w:cs="仿宋_GB2312"/>
                <w:color w:val="auto"/>
                <w:kern w:val="0"/>
                <w:szCs w:val="21"/>
                <w:highlight w:val="none"/>
                <w:lang w:eastAsia="zh-CN" w:bidi="ar"/>
              </w:rPr>
              <w:t>）</w:t>
            </w:r>
            <w:r>
              <w:rPr>
                <w:rFonts w:hint="eastAsia" w:ascii="仿宋_GB2312" w:hAnsi="仿宋_GB2312" w:eastAsia="仿宋_GB2312" w:cs="仿宋_GB2312"/>
                <w:color w:val="auto"/>
                <w:kern w:val="0"/>
                <w:szCs w:val="21"/>
                <w:highlight w:val="none"/>
                <w:lang w:bidi="ar"/>
              </w:rPr>
              <w:t>：</w:t>
            </w:r>
          </w:p>
          <w:p>
            <w:pPr>
              <w:pStyle w:val="5"/>
              <w:snapToGrid w:val="0"/>
              <w:ind w:firstLine="0" w:firstLineChars="0"/>
              <w:jc w:val="left"/>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①申请</w:t>
            </w:r>
            <w:r>
              <w:rPr>
                <w:rFonts w:hint="eastAsia" w:ascii="仿宋_GB2312" w:hAnsi="仿宋_GB2312" w:eastAsia="仿宋_GB2312" w:cs="仿宋_GB2312"/>
                <w:color w:val="auto"/>
                <w:kern w:val="0"/>
                <w:szCs w:val="21"/>
                <w:highlight w:val="none"/>
                <w:lang w:eastAsia="zh-CN" w:bidi="ar"/>
              </w:rPr>
              <w:t>运营</w:t>
            </w:r>
            <w:r>
              <w:rPr>
                <w:rFonts w:hint="eastAsia" w:ascii="仿宋_GB2312" w:hAnsi="仿宋_GB2312" w:eastAsia="仿宋_GB2312" w:cs="仿宋_GB2312"/>
                <w:color w:val="auto"/>
                <w:kern w:val="0"/>
                <w:szCs w:val="21"/>
                <w:highlight w:val="none"/>
                <w:lang w:bidi="ar"/>
              </w:rPr>
              <w:t>支持（</w:t>
            </w:r>
            <w:r>
              <w:rPr>
                <w:rFonts w:hint="eastAsia" w:ascii="仿宋_GB2312" w:hAnsi="仿宋_GB2312" w:eastAsia="仿宋_GB2312" w:cs="仿宋_GB2312"/>
                <w:color w:val="auto"/>
                <w:kern w:val="0"/>
                <w:szCs w:val="21"/>
                <w:highlight w:val="none"/>
                <w:lang w:eastAsia="zh-CN" w:bidi="ar"/>
              </w:rPr>
              <w:t>第一次拨付</w:t>
            </w:r>
            <w:r>
              <w:rPr>
                <w:rFonts w:hint="eastAsia" w:ascii="仿宋_GB2312" w:hAnsi="仿宋_GB2312" w:eastAsia="仿宋_GB2312" w:cs="仿宋_GB2312"/>
                <w:color w:val="auto"/>
                <w:kern w:val="0"/>
                <w:szCs w:val="21"/>
                <w:highlight w:val="none"/>
                <w:lang w:bidi="ar"/>
              </w:rPr>
              <w:t>）的，提交</w:t>
            </w:r>
            <w:r>
              <w:rPr>
                <w:rFonts w:hint="eastAsia" w:ascii="仿宋_GB2312" w:hAnsi="仿宋_GB2312" w:eastAsia="仿宋_GB2312" w:cs="仿宋_GB2312"/>
                <w:color w:val="auto"/>
                <w:kern w:val="0"/>
                <w:szCs w:val="21"/>
                <w:highlight w:val="none"/>
                <w:lang w:eastAsia="zh-CN" w:bidi="ar"/>
              </w:rPr>
              <w:t>运营</w:t>
            </w:r>
            <w:r>
              <w:rPr>
                <w:rFonts w:hint="eastAsia" w:ascii="仿宋_GB2312" w:hAnsi="仿宋_GB2312" w:eastAsia="仿宋_GB2312" w:cs="仿宋_GB2312"/>
                <w:color w:val="auto"/>
                <w:kern w:val="0"/>
                <w:szCs w:val="21"/>
                <w:highlight w:val="none"/>
                <w:lang w:bidi="ar"/>
              </w:rPr>
              <w:t>监管协议</w:t>
            </w:r>
            <w:r>
              <w:rPr>
                <w:rFonts w:hint="eastAsia" w:ascii="仿宋_GB2312" w:hAnsi="仿宋_GB2312" w:eastAsia="仿宋_GB2312" w:cs="仿宋_GB2312"/>
                <w:color w:val="auto"/>
                <w:kern w:val="0"/>
                <w:szCs w:val="21"/>
                <w:highlight w:val="none"/>
                <w:lang w:eastAsia="zh-CN" w:bidi="ar"/>
              </w:rPr>
              <w:t>。</w:t>
            </w:r>
          </w:p>
          <w:p>
            <w:pPr>
              <w:spacing w:line="280" w:lineRule="exact"/>
              <w:rPr>
                <w:rFonts w:hint="default" w:ascii="仿宋_GB2312" w:hAnsi="Times New Roman" w:eastAsia="仿宋_GB2312" w:cs="Times New Roman"/>
                <w:color w:val="auto"/>
                <w:kern w:val="2"/>
                <w:sz w:val="21"/>
                <w:szCs w:val="21"/>
                <w:highlight w:val="none"/>
                <w:lang w:val="en-US" w:eastAsia="zh-CN" w:bidi="ar-SA"/>
              </w:rPr>
            </w:pPr>
            <w:r>
              <w:rPr>
                <w:rFonts w:hint="eastAsia" w:ascii="仿宋_GB2312" w:hAnsi="仿宋_GB2312" w:eastAsia="仿宋_GB2312" w:cs="仿宋_GB2312"/>
                <w:color w:val="auto"/>
                <w:kern w:val="0"/>
                <w:szCs w:val="21"/>
                <w:highlight w:val="none"/>
                <w:lang w:bidi="ar"/>
              </w:rPr>
              <w:t>②申请</w:t>
            </w:r>
            <w:r>
              <w:rPr>
                <w:rFonts w:hint="eastAsia" w:ascii="仿宋_GB2312" w:hAnsi="仿宋_GB2312" w:eastAsia="仿宋_GB2312" w:cs="仿宋_GB2312"/>
                <w:color w:val="auto"/>
                <w:kern w:val="0"/>
                <w:szCs w:val="21"/>
                <w:highlight w:val="none"/>
                <w:lang w:eastAsia="zh-CN" w:bidi="ar"/>
              </w:rPr>
              <w:t>运营</w:t>
            </w:r>
            <w:r>
              <w:rPr>
                <w:rFonts w:hint="eastAsia" w:ascii="仿宋_GB2312" w:hAnsi="仿宋_GB2312" w:eastAsia="仿宋_GB2312" w:cs="仿宋_GB2312"/>
                <w:color w:val="auto"/>
                <w:kern w:val="0"/>
                <w:szCs w:val="21"/>
                <w:highlight w:val="none"/>
                <w:lang w:bidi="ar"/>
              </w:rPr>
              <w:t>支持（</w:t>
            </w:r>
            <w:r>
              <w:rPr>
                <w:rFonts w:hint="eastAsia" w:ascii="仿宋_GB2312" w:hAnsi="仿宋_GB2312" w:eastAsia="仿宋_GB2312" w:cs="仿宋_GB2312"/>
                <w:color w:val="auto"/>
                <w:kern w:val="0"/>
                <w:szCs w:val="21"/>
                <w:highlight w:val="none"/>
                <w:lang w:eastAsia="zh-CN" w:bidi="ar"/>
              </w:rPr>
              <w:t>第二次拨付</w:t>
            </w:r>
            <w:r>
              <w:rPr>
                <w:rFonts w:hint="eastAsia" w:ascii="仿宋_GB2312" w:hAnsi="仿宋_GB2312" w:eastAsia="仿宋_GB2312" w:cs="仿宋_GB2312"/>
                <w:color w:val="auto"/>
                <w:kern w:val="0"/>
                <w:szCs w:val="21"/>
                <w:highlight w:val="none"/>
                <w:lang w:bidi="ar"/>
              </w:rPr>
              <w:t>）的，提交</w:t>
            </w:r>
            <w:r>
              <w:rPr>
                <w:rFonts w:hint="eastAsia" w:ascii="仿宋_GB2312" w:hAnsi="仿宋_GB2312" w:eastAsia="仿宋_GB2312" w:cs="仿宋_GB2312"/>
                <w:color w:val="auto"/>
                <w:kern w:val="0"/>
                <w:szCs w:val="21"/>
                <w:highlight w:val="none"/>
                <w:lang w:eastAsia="zh-CN" w:bidi="ar"/>
              </w:rPr>
              <w:t>运营</w:t>
            </w:r>
            <w:r>
              <w:rPr>
                <w:rFonts w:hint="eastAsia" w:ascii="仿宋_GB2312" w:hAnsi="仿宋_GB2312" w:eastAsia="仿宋_GB2312" w:cs="仿宋_GB2312"/>
                <w:color w:val="auto"/>
                <w:kern w:val="0"/>
                <w:szCs w:val="21"/>
                <w:highlight w:val="none"/>
                <w:lang w:bidi="ar"/>
              </w:rPr>
              <w:t>成效评定结果相关材料</w:t>
            </w:r>
            <w:r>
              <w:rPr>
                <w:rFonts w:hint="eastAsia" w:ascii="仿宋_GB2312" w:hAnsi="仿宋_GB2312" w:eastAsia="仿宋_GB2312" w:cs="仿宋_GB2312"/>
                <w:color w:val="auto"/>
                <w:kern w:val="0"/>
                <w:szCs w:val="21"/>
                <w:highlight w:val="none"/>
                <w:lang w:eastAsia="zh-CN" w:bidi="ar"/>
              </w:rPr>
              <w:t>。</w:t>
            </w:r>
          </w:p>
        </w:tc>
        <w:tc>
          <w:tcPr>
            <w:tcW w:w="2521" w:type="dxa"/>
            <w:tcBorders>
              <w:bottom w:val="single" w:color="auto" w:sz="4" w:space="0"/>
            </w:tcBorders>
            <w:noWrap w:val="0"/>
            <w:vAlign w:val="center"/>
          </w:tcPr>
          <w:p>
            <w:pPr>
              <w:spacing w:line="28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验原件交复印件（盖章）</w:t>
            </w:r>
          </w:p>
        </w:tc>
        <w:tc>
          <w:tcPr>
            <w:tcW w:w="1360" w:type="dxa"/>
            <w:vMerge w:val="continue"/>
            <w:noWrap w:val="0"/>
            <w:vAlign w:val="center"/>
          </w:tcPr>
          <w:p>
            <w:pPr>
              <w:spacing w:line="480" w:lineRule="exac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892" w:type="dxa"/>
            <w:tcBorders>
              <w:bottom w:val="single" w:color="auto" w:sz="4" w:space="0"/>
            </w:tcBorders>
            <w:noWrap w:val="0"/>
            <w:vAlign w:val="center"/>
          </w:tcPr>
          <w:p>
            <w:pPr>
              <w:spacing w:line="48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lang w:val="en-US" w:eastAsia="zh-CN"/>
              </w:rPr>
              <w:t>4</w:t>
            </w:r>
          </w:p>
        </w:tc>
        <w:tc>
          <w:tcPr>
            <w:tcW w:w="4256" w:type="dxa"/>
            <w:tcBorders>
              <w:bottom w:val="single" w:color="auto" w:sz="4" w:space="0"/>
            </w:tcBorders>
            <w:noWrap w:val="0"/>
            <w:vAlign w:val="center"/>
          </w:tcPr>
          <w:p>
            <w:pPr>
              <w:spacing w:line="280" w:lineRule="exact"/>
              <w:rPr>
                <w:rFonts w:hint="eastAsia" w:ascii="仿宋_GB2312" w:hAnsi="仿宋_GB2312" w:eastAsia="仿宋_GB2312" w:cs="仿宋_GB2312"/>
                <w:color w:val="auto"/>
                <w:kern w:val="0"/>
                <w:szCs w:val="21"/>
                <w:highlight w:val="none"/>
                <w:lang w:eastAsia="zh-CN" w:bidi="ar"/>
              </w:rPr>
            </w:pPr>
            <w:r>
              <w:rPr>
                <w:rFonts w:hint="eastAsia" w:ascii="仿宋_GB2312" w:hAnsi="仿宋_GB2312" w:eastAsia="仿宋_GB2312" w:cs="仿宋_GB2312"/>
                <w:color w:val="auto"/>
                <w:kern w:val="0"/>
                <w:szCs w:val="21"/>
                <w:highlight w:val="none"/>
                <w:lang w:eastAsia="zh-CN" w:bidi="ar"/>
              </w:rPr>
              <w:t>区政府认定为专业楼宇的证明文件（或监管协议）</w:t>
            </w:r>
          </w:p>
        </w:tc>
        <w:tc>
          <w:tcPr>
            <w:tcW w:w="2521" w:type="dxa"/>
            <w:tcBorders>
              <w:bottom w:val="single" w:color="auto" w:sz="4" w:space="0"/>
            </w:tcBorders>
            <w:noWrap w:val="0"/>
            <w:vAlign w:val="center"/>
          </w:tcPr>
          <w:p>
            <w:pPr>
              <w:spacing w:line="280" w:lineRule="exact"/>
              <w:jc w:val="center"/>
              <w:rPr>
                <w:rFonts w:hint="eastAsia" w:ascii="仿宋_GB2312" w:hAnsi="仿宋_GB2312" w:eastAsia="仿宋_GB2312" w:cs="仿宋_GB2312"/>
                <w:color w:val="auto"/>
                <w:szCs w:val="21"/>
                <w:highlight w:val="none"/>
              </w:rPr>
            </w:pPr>
          </w:p>
        </w:tc>
        <w:tc>
          <w:tcPr>
            <w:tcW w:w="1360" w:type="dxa"/>
            <w:vMerge w:val="continue"/>
            <w:noWrap w:val="0"/>
            <w:vAlign w:val="center"/>
          </w:tcPr>
          <w:p>
            <w:pPr>
              <w:spacing w:line="480" w:lineRule="exac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892" w:type="dxa"/>
            <w:noWrap w:val="0"/>
            <w:vAlign w:val="center"/>
          </w:tcPr>
          <w:p>
            <w:pPr>
              <w:spacing w:line="48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lang w:val="en-US" w:eastAsia="zh-CN"/>
              </w:rPr>
              <w:t>5</w:t>
            </w:r>
          </w:p>
        </w:tc>
        <w:tc>
          <w:tcPr>
            <w:tcW w:w="4256" w:type="dxa"/>
            <w:noWrap w:val="0"/>
            <w:vAlign w:val="center"/>
          </w:tcPr>
          <w:p>
            <w:pPr>
              <w:spacing w:line="280" w:lineRule="exact"/>
              <w:rPr>
                <w:rFonts w:hint="default" w:ascii="仿宋_GB2312" w:hAnsi="Times New Roman" w:eastAsia="仿宋_GB2312" w:cs="Times New Roman"/>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lang w:val="en-US" w:eastAsia="zh-CN"/>
              </w:rPr>
              <w:t>运营机构规范经营</w:t>
            </w:r>
            <w:r>
              <w:rPr>
                <w:rFonts w:hint="eastAsia" w:ascii="仿宋_GB2312" w:hAnsi="仿宋_GB2312" w:eastAsia="仿宋_GB2312" w:cs="仿宋_GB2312"/>
                <w:color w:val="auto"/>
                <w:szCs w:val="21"/>
                <w:highlight w:val="none"/>
                <w:lang w:eastAsia="zh-CN"/>
              </w:rPr>
              <w:t>承诺</w:t>
            </w:r>
            <w:r>
              <w:rPr>
                <w:rFonts w:hint="eastAsia" w:ascii="仿宋_GB2312" w:hAnsi="仿宋_GB2312" w:eastAsia="仿宋_GB2312" w:cs="仿宋_GB2312"/>
                <w:color w:val="auto"/>
                <w:szCs w:val="21"/>
                <w:highlight w:val="none"/>
                <w:lang w:val="en-US" w:eastAsia="zh-CN"/>
              </w:rPr>
              <w:t>书</w:t>
            </w:r>
          </w:p>
        </w:tc>
        <w:tc>
          <w:tcPr>
            <w:tcW w:w="2521" w:type="dxa"/>
            <w:noWrap w:val="0"/>
            <w:vAlign w:val="center"/>
          </w:tcPr>
          <w:p>
            <w:pPr>
              <w:spacing w:line="28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lang w:eastAsia="zh-CN"/>
              </w:rPr>
              <w:t>原件</w:t>
            </w:r>
            <w:r>
              <w:rPr>
                <w:rFonts w:hint="eastAsia" w:ascii="仿宋_GB2312" w:hAnsi="仿宋_GB2312" w:eastAsia="仿宋_GB2312" w:cs="仿宋_GB2312"/>
                <w:color w:val="auto"/>
                <w:szCs w:val="21"/>
                <w:highlight w:val="none"/>
              </w:rPr>
              <w:t>（盖章）</w:t>
            </w:r>
          </w:p>
        </w:tc>
        <w:tc>
          <w:tcPr>
            <w:tcW w:w="1360" w:type="dxa"/>
            <w:vMerge w:val="continue"/>
            <w:noWrap w:val="0"/>
            <w:vAlign w:val="center"/>
          </w:tcPr>
          <w:p>
            <w:pPr>
              <w:spacing w:line="480" w:lineRule="exac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892" w:type="dxa"/>
            <w:noWrap w:val="0"/>
            <w:vAlign w:val="center"/>
          </w:tcPr>
          <w:p>
            <w:pPr>
              <w:spacing w:line="48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lang w:val="en-US" w:eastAsia="zh-CN"/>
              </w:rPr>
              <w:t>6</w:t>
            </w:r>
          </w:p>
        </w:tc>
        <w:tc>
          <w:tcPr>
            <w:tcW w:w="4256" w:type="dxa"/>
            <w:noWrap w:val="0"/>
            <w:vAlign w:val="center"/>
          </w:tcPr>
          <w:p>
            <w:pPr>
              <w:spacing w:line="280" w:lineRule="exact"/>
              <w:rPr>
                <w:rFonts w:hint="default" w:ascii="仿宋_GB2312" w:hAnsi="Times New Roman" w:eastAsia="仿宋_GB2312" w:cs="Times New Roman"/>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lang w:eastAsia="zh-CN"/>
              </w:rPr>
              <w:t>运营机构信用信息报告（信用中国网站打印）</w:t>
            </w:r>
          </w:p>
        </w:tc>
        <w:tc>
          <w:tcPr>
            <w:tcW w:w="2521" w:type="dxa"/>
            <w:noWrap w:val="0"/>
            <w:vAlign w:val="center"/>
          </w:tcPr>
          <w:p>
            <w:pPr>
              <w:spacing w:line="280" w:lineRule="exact"/>
              <w:jc w:val="center"/>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打印（盖章）</w:t>
            </w:r>
          </w:p>
        </w:tc>
        <w:tc>
          <w:tcPr>
            <w:tcW w:w="1360" w:type="dxa"/>
            <w:vMerge w:val="continue"/>
            <w:noWrap w:val="0"/>
            <w:vAlign w:val="center"/>
          </w:tcPr>
          <w:p>
            <w:pPr>
              <w:spacing w:line="480" w:lineRule="exac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892" w:type="dxa"/>
            <w:noWrap w:val="0"/>
            <w:vAlign w:val="center"/>
          </w:tcPr>
          <w:p>
            <w:pPr>
              <w:spacing w:line="480" w:lineRule="exact"/>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7</w:t>
            </w:r>
          </w:p>
        </w:tc>
        <w:tc>
          <w:tcPr>
            <w:tcW w:w="4256" w:type="dxa"/>
            <w:noWrap w:val="0"/>
            <w:vAlign w:val="center"/>
          </w:tcPr>
          <w:p>
            <w:pPr>
              <w:spacing w:line="280" w:lineRule="exact"/>
              <w:rPr>
                <w:rFonts w:hint="eastAsia" w:ascii="仿宋_GB2312" w:hAnsi="Times New Roman" w:eastAsia="仿宋_GB2312" w:cs="Times New Roman"/>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主管部门要求提交的其他材料</w:t>
            </w:r>
          </w:p>
        </w:tc>
        <w:tc>
          <w:tcPr>
            <w:tcW w:w="2521" w:type="dxa"/>
            <w:noWrap w:val="0"/>
            <w:vAlign w:val="center"/>
          </w:tcPr>
          <w:p>
            <w:pPr>
              <w:spacing w:line="28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lang w:val="en-US" w:eastAsia="zh-CN"/>
              </w:rPr>
              <w:t>按要求提供</w:t>
            </w:r>
          </w:p>
        </w:tc>
        <w:tc>
          <w:tcPr>
            <w:tcW w:w="1360" w:type="dxa"/>
            <w:noWrap w:val="0"/>
            <w:vAlign w:val="center"/>
          </w:tcPr>
          <w:p>
            <w:pPr>
              <w:spacing w:line="480" w:lineRule="exact"/>
              <w:rPr>
                <w:rFonts w:hint="eastAsia" w:ascii="仿宋_GB2312" w:hAnsi="仿宋_GB2312" w:eastAsia="仿宋_GB2312" w:cs="仿宋_GB2312"/>
                <w:color w:val="auto"/>
                <w:szCs w:val="21"/>
                <w:highlight w:val="none"/>
              </w:rPr>
            </w:pPr>
          </w:p>
        </w:tc>
      </w:tr>
    </w:tbl>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eastAsia" w:ascii="楷体_GB2312" w:hAnsi="楷体_GB2312" w:eastAsia="楷体_GB2312" w:cs="Times New Roman"/>
          <w:b/>
          <w:bCs/>
          <w:color w:val="auto"/>
          <w:sz w:val="32"/>
          <w:szCs w:val="32"/>
          <w:highlight w:val="none"/>
          <w:lang w:val="en-US" w:eastAsia="zh-CN"/>
        </w:rPr>
      </w:pPr>
      <w:r>
        <w:rPr>
          <w:rFonts w:hint="eastAsia" w:ascii="楷体_GB2312" w:hAnsi="楷体_GB2312" w:eastAsia="楷体_GB2312" w:cs="Times New Roman"/>
          <w:b/>
          <w:bCs/>
          <w:color w:val="auto"/>
          <w:sz w:val="32"/>
          <w:szCs w:val="32"/>
          <w:highlight w:val="none"/>
          <w:lang w:val="en-US" w:eastAsia="zh-CN"/>
        </w:rPr>
        <w:t>（三）物业联盟支持</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eastAsia" w:ascii="楷体_GB2312" w:hAnsi="楷体_GB2312" w:eastAsia="楷体_GB2312" w:cs="Times New Roman"/>
          <w:b/>
          <w:bCs/>
          <w:color w:val="auto"/>
          <w:sz w:val="32"/>
          <w:szCs w:val="32"/>
          <w:highlight w:val="none"/>
          <w:lang w:val="en-US" w:eastAsia="zh-CN"/>
        </w:rPr>
      </w:pPr>
      <w:r>
        <w:rPr>
          <w:rFonts w:hint="eastAsia" w:ascii="楷体_GB2312" w:hAnsi="楷体_GB2312" w:eastAsia="楷体_GB2312" w:cs="Times New Roman"/>
          <w:b/>
          <w:bCs/>
          <w:color w:val="auto"/>
          <w:sz w:val="32"/>
          <w:szCs w:val="32"/>
          <w:highlight w:val="none"/>
          <w:lang w:val="en-US" w:eastAsia="zh-CN"/>
        </w:rPr>
        <w:t>1.物业联盟认定</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项目说明：</w:t>
      </w:r>
      <w:r>
        <w:rPr>
          <w:rFonts w:hint="eastAsia" w:ascii="仿宋_GB2312" w:hAnsi="仿宋_GB2312" w:eastAsia="仿宋_GB2312" w:cs="仿宋_GB2312"/>
          <w:b w:val="0"/>
          <w:bCs w:val="0"/>
          <w:color w:val="auto"/>
          <w:sz w:val="32"/>
          <w:szCs w:val="32"/>
          <w:highlight w:val="none"/>
          <w:lang w:val="en-US" w:eastAsia="zh-CN"/>
        </w:rPr>
        <w:t>支持社会产业用房服务机构根据楼宇功能、品质、区域等特点联合打造多层次、多样化的物业联盟。符合以下条件的机构，经协商一致，可申请认定为物业联盟：</w:t>
      </w:r>
    </w:p>
    <w:p>
      <w:pPr>
        <w:spacing w:line="560" w:lineRule="exact"/>
        <w:ind w:firstLine="64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由物业服务企业、物业业主等超过</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家单位共同发起成立；</w:t>
      </w:r>
    </w:p>
    <w:p>
      <w:pPr>
        <w:spacing w:line="560" w:lineRule="exact"/>
        <w:ind w:firstLine="640"/>
        <w:rPr>
          <w:rFonts w:hint="default" w:ascii="仿宋_GB2312" w:hAnsi="仿宋_GB2312" w:eastAsia="仿宋_GB2312" w:cs="仿宋_GB2312"/>
          <w:b w:val="0"/>
          <w:bCs w:val="0"/>
          <w:color w:val="auto"/>
          <w:highlight w:val="none"/>
          <w:lang w:val="en-US"/>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）成员单位服务（或管理）的福田区产业用房建筑面积</w:t>
      </w:r>
      <w:r>
        <w:rPr>
          <w:rFonts w:hint="eastAsia" w:ascii="仿宋_GB2312" w:hAnsi="仿宋_GB2312" w:eastAsia="仿宋_GB2312" w:cs="仿宋_GB2312"/>
          <w:b w:val="0"/>
          <w:bCs w:val="0"/>
          <w:color w:val="auto"/>
          <w:sz w:val="32"/>
          <w:szCs w:val="32"/>
          <w:highlight w:val="none"/>
          <w:lang w:val="en-US" w:eastAsia="zh-CN"/>
        </w:rPr>
        <w:t>原则上</w:t>
      </w:r>
      <w:r>
        <w:rPr>
          <w:rFonts w:hint="eastAsia" w:ascii="仿宋_GB2312" w:hAnsi="仿宋_GB2312" w:eastAsia="仿宋_GB2312" w:cs="仿宋_GB2312"/>
          <w:b w:val="0"/>
          <w:bCs w:val="0"/>
          <w:color w:val="auto"/>
          <w:sz w:val="32"/>
          <w:szCs w:val="32"/>
          <w:highlight w:val="none"/>
          <w:lang w:eastAsia="zh-CN"/>
        </w:rPr>
        <w:t>合计不低于</w:t>
      </w:r>
      <w:r>
        <w:rPr>
          <w:rFonts w:hint="eastAsia" w:ascii="仿宋_GB2312" w:hAnsi="仿宋_GB2312" w:eastAsia="仿宋_GB2312" w:cs="仿宋_GB2312"/>
          <w:b w:val="0"/>
          <w:bCs w:val="0"/>
          <w:color w:val="auto"/>
          <w:sz w:val="32"/>
          <w:szCs w:val="32"/>
          <w:highlight w:val="none"/>
          <w:lang w:val="en-US" w:eastAsia="zh-CN"/>
        </w:rPr>
        <w:t>30万平方米，且半年内（从认定之日起算）可租售的空置面积原则上不低于总面积的10%；</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物业联盟</w:t>
      </w:r>
      <w:r>
        <w:rPr>
          <w:rFonts w:hint="eastAsia" w:ascii="仿宋_GB2312" w:hAnsi="仿宋_GB2312" w:eastAsia="仿宋_GB2312" w:cs="仿宋_GB2312"/>
          <w:b w:val="0"/>
          <w:bCs w:val="0"/>
          <w:color w:val="auto"/>
          <w:sz w:val="32"/>
          <w:szCs w:val="32"/>
          <w:highlight w:val="none"/>
          <w:lang w:eastAsia="zh-CN"/>
        </w:rPr>
        <w:t>原则上为</w:t>
      </w:r>
      <w:r>
        <w:rPr>
          <w:rFonts w:hint="eastAsia" w:ascii="仿宋_GB2312" w:hAnsi="仿宋_GB2312" w:eastAsia="仿宋_GB2312" w:cs="仿宋_GB2312"/>
          <w:b w:val="0"/>
          <w:bCs w:val="0"/>
          <w:color w:val="auto"/>
          <w:sz w:val="32"/>
          <w:szCs w:val="32"/>
          <w:highlight w:val="none"/>
        </w:rPr>
        <w:t>具有实体运作的</w:t>
      </w:r>
      <w:r>
        <w:rPr>
          <w:rFonts w:hint="eastAsia" w:ascii="仿宋_GB2312" w:hAnsi="仿宋_GB2312" w:eastAsia="仿宋_GB2312" w:cs="仿宋_GB2312"/>
          <w:b w:val="0"/>
          <w:bCs w:val="0"/>
          <w:color w:val="auto"/>
          <w:sz w:val="32"/>
          <w:szCs w:val="32"/>
          <w:highlight w:val="none"/>
          <w:lang w:eastAsia="zh-CN"/>
        </w:rPr>
        <w:t>社会</w:t>
      </w:r>
      <w:r>
        <w:rPr>
          <w:rFonts w:hint="eastAsia" w:ascii="仿宋_GB2312" w:hAnsi="仿宋_GB2312" w:eastAsia="仿宋_GB2312" w:cs="仿宋_GB2312"/>
          <w:b w:val="0"/>
          <w:bCs w:val="0"/>
          <w:color w:val="auto"/>
          <w:sz w:val="32"/>
          <w:szCs w:val="32"/>
          <w:highlight w:val="none"/>
        </w:rPr>
        <w:t>组织</w:t>
      </w:r>
      <w:r>
        <w:rPr>
          <w:rFonts w:hint="eastAsia" w:ascii="仿宋_GB2312" w:hAnsi="仿宋_GB2312" w:eastAsia="仿宋_GB2312" w:cs="仿宋_GB2312"/>
          <w:b w:val="0"/>
          <w:bCs w:val="0"/>
          <w:color w:val="auto"/>
          <w:sz w:val="32"/>
          <w:szCs w:val="32"/>
          <w:highlight w:val="none"/>
          <w:lang w:eastAsia="zh-CN"/>
        </w:rPr>
        <w:t>；或为</w:t>
      </w:r>
      <w:r>
        <w:rPr>
          <w:rFonts w:hint="eastAsia" w:ascii="仿宋_GB2312" w:hAnsi="仿宋_GB2312" w:eastAsia="仿宋_GB2312" w:cs="仿宋_GB2312"/>
          <w:b w:val="0"/>
          <w:bCs w:val="0"/>
          <w:color w:val="auto"/>
          <w:sz w:val="32"/>
          <w:szCs w:val="32"/>
          <w:highlight w:val="none"/>
        </w:rPr>
        <w:t>具备</w:t>
      </w:r>
      <w:r>
        <w:rPr>
          <w:rFonts w:hint="eastAsia" w:ascii="仿宋_GB2312" w:hAnsi="仿宋_GB2312" w:eastAsia="仿宋_GB2312" w:cs="仿宋_GB2312"/>
          <w:b w:val="0"/>
          <w:bCs w:val="0"/>
          <w:color w:val="auto"/>
          <w:sz w:val="32"/>
          <w:szCs w:val="32"/>
          <w:highlight w:val="none"/>
          <w:lang w:eastAsia="zh-CN"/>
        </w:rPr>
        <w:t>成熟</w:t>
      </w:r>
      <w:r>
        <w:rPr>
          <w:rFonts w:hint="eastAsia" w:ascii="仿宋_GB2312" w:hAnsi="仿宋_GB2312" w:eastAsia="仿宋_GB2312" w:cs="仿宋_GB2312"/>
          <w:b w:val="0"/>
          <w:bCs w:val="0"/>
          <w:color w:val="auto"/>
          <w:sz w:val="32"/>
          <w:szCs w:val="32"/>
          <w:highlight w:val="none"/>
        </w:rPr>
        <w:t>议事</w:t>
      </w:r>
      <w:r>
        <w:rPr>
          <w:rFonts w:hint="eastAsia" w:ascii="仿宋_GB2312" w:hAnsi="仿宋_GB2312" w:eastAsia="仿宋_GB2312" w:cs="仿宋_GB2312"/>
          <w:b w:val="0"/>
          <w:bCs w:val="0"/>
          <w:color w:val="auto"/>
          <w:sz w:val="32"/>
          <w:szCs w:val="32"/>
          <w:highlight w:val="none"/>
          <w:lang w:eastAsia="zh-CN"/>
        </w:rPr>
        <w:t>机制、联盟章程以及成员单位共建协议</w:t>
      </w:r>
      <w:r>
        <w:rPr>
          <w:rFonts w:hint="eastAsia" w:ascii="仿宋_GB2312" w:hAnsi="仿宋_GB2312" w:eastAsia="仿宋_GB2312" w:cs="仿宋_GB2312"/>
          <w:b w:val="0"/>
          <w:bCs w:val="0"/>
          <w:color w:val="auto"/>
          <w:sz w:val="32"/>
          <w:szCs w:val="32"/>
          <w:highlight w:val="none"/>
        </w:rPr>
        <w:t>的非实体组织。</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eastAsia"/>
          <w:color w:val="auto"/>
          <w:highlight w:val="none"/>
          <w:lang w:val="en-US" w:eastAsia="zh-CN"/>
        </w:rPr>
      </w:pPr>
      <w:r>
        <w:rPr>
          <w:rFonts w:hint="eastAsia" w:ascii="楷体_GB2312" w:hAnsi="楷体_GB2312" w:eastAsia="楷体_GB2312" w:cs="Times New Roman"/>
          <w:b/>
          <w:bCs/>
          <w:color w:val="auto"/>
          <w:sz w:val="32"/>
          <w:szCs w:val="32"/>
          <w:highlight w:val="none"/>
          <w:lang w:val="en-US" w:eastAsia="zh-CN"/>
        </w:rPr>
        <w:t>申请材料：</w:t>
      </w:r>
    </w:p>
    <w:tbl>
      <w:tblPr>
        <w:tblStyle w:val="3"/>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4732"/>
        <w:gridCol w:w="2397"/>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color w:val="auto"/>
                <w:sz w:val="21"/>
                <w:szCs w:val="21"/>
                <w:highlight w:val="none"/>
              </w:rPr>
              <w:t>序号</w:t>
            </w:r>
          </w:p>
        </w:tc>
        <w:tc>
          <w:tcPr>
            <w:tcW w:w="4732"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color w:val="auto"/>
                <w:sz w:val="21"/>
                <w:szCs w:val="21"/>
                <w:highlight w:val="none"/>
              </w:rPr>
              <w:t>材料名称</w:t>
            </w:r>
          </w:p>
        </w:tc>
        <w:tc>
          <w:tcPr>
            <w:tcW w:w="2397"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color w:val="auto"/>
                <w:sz w:val="21"/>
                <w:szCs w:val="21"/>
                <w:highlight w:val="none"/>
              </w:rPr>
              <w:t>材料要求</w:t>
            </w:r>
          </w:p>
        </w:tc>
        <w:tc>
          <w:tcPr>
            <w:tcW w:w="1654"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w:t>
            </w:r>
          </w:p>
        </w:tc>
        <w:tc>
          <w:tcPr>
            <w:tcW w:w="4732"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eastAsia="仿宋_GB2312"/>
                <w:color w:val="auto"/>
                <w:szCs w:val="21"/>
                <w:highlight w:val="none"/>
              </w:rPr>
              <w:t>申请单位证照（</w:t>
            </w:r>
            <w:r>
              <w:rPr>
                <w:rFonts w:hint="eastAsia" w:ascii="仿宋_GB2312" w:eastAsia="仿宋_GB2312"/>
                <w:color w:val="auto"/>
                <w:szCs w:val="21"/>
                <w:highlight w:val="none"/>
                <w:lang w:eastAsia="zh-CN"/>
              </w:rPr>
              <w:t>含社会团体法人登记证书</w:t>
            </w:r>
            <w:r>
              <w:rPr>
                <w:rFonts w:hint="eastAsia" w:ascii="仿宋_GB2312" w:eastAsia="仿宋_GB2312"/>
                <w:color w:val="auto"/>
                <w:szCs w:val="21"/>
                <w:highlight w:val="none"/>
                <w:lang w:val="en-US" w:eastAsia="zh-CN"/>
              </w:rPr>
              <w:t>/机构代码证、税务登记证或</w:t>
            </w:r>
            <w:r>
              <w:rPr>
                <w:rFonts w:ascii="仿宋_GB2312" w:eastAsia="仿宋_GB2312"/>
                <w:color w:val="auto"/>
                <w:szCs w:val="21"/>
                <w:highlight w:val="none"/>
              </w:rPr>
              <w:t>三证合一</w:t>
            </w:r>
            <w:r>
              <w:rPr>
                <w:rFonts w:hint="eastAsia" w:ascii="仿宋_GB2312" w:eastAsia="仿宋_GB2312"/>
                <w:color w:val="auto"/>
                <w:szCs w:val="21"/>
                <w:highlight w:val="none"/>
                <w:lang w:eastAsia="zh-CN"/>
              </w:rPr>
              <w:t>证照</w:t>
            </w:r>
            <w:r>
              <w:rPr>
                <w:rFonts w:hint="eastAsia" w:ascii="仿宋_GB2312" w:eastAsia="仿宋_GB2312"/>
                <w:color w:val="auto"/>
                <w:szCs w:val="21"/>
                <w:highlight w:val="none"/>
              </w:rPr>
              <w:t>）</w:t>
            </w:r>
          </w:p>
        </w:tc>
        <w:tc>
          <w:tcPr>
            <w:tcW w:w="2397"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验原件交复印件（盖章）</w:t>
            </w:r>
          </w:p>
        </w:tc>
        <w:tc>
          <w:tcPr>
            <w:tcW w:w="1654" w:type="dxa"/>
            <w:vMerge w:val="restart"/>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Cs/>
                <w:color w:val="auto"/>
                <w:szCs w:val="21"/>
                <w:highlight w:val="none"/>
              </w:rPr>
              <w:t>申报材料需全部</w:t>
            </w:r>
            <w:r>
              <w:rPr>
                <w:rFonts w:hint="eastAsia" w:ascii="仿宋_GB2312" w:hAnsi="仿宋_GB2312" w:eastAsia="仿宋_GB2312" w:cs="仿宋_GB2312"/>
                <w:bCs/>
                <w:color w:val="auto"/>
                <w:szCs w:val="21"/>
                <w:highlight w:val="none"/>
                <w:lang w:eastAsia="zh-CN"/>
              </w:rPr>
              <w:t>提交</w:t>
            </w:r>
            <w:r>
              <w:rPr>
                <w:rFonts w:hint="eastAsia" w:ascii="仿宋_GB2312" w:hAnsi="仿宋_GB2312" w:eastAsia="仿宋_GB2312" w:cs="仿宋_GB2312"/>
                <w:bCs/>
                <w:color w:val="auto"/>
                <w:szCs w:val="21"/>
                <w:highlight w:val="none"/>
              </w:rPr>
              <w:t>电子文档</w:t>
            </w:r>
            <w:r>
              <w:rPr>
                <w:rFonts w:hint="eastAsia" w:ascii="仿宋_GB2312" w:hAnsi="仿宋_GB2312" w:eastAsia="仿宋_GB2312" w:cs="仿宋_GB2312"/>
                <w:bCs/>
                <w:color w:val="auto"/>
                <w:szCs w:val="21"/>
                <w:highlight w:val="none"/>
                <w:lang w:eastAsia="zh-CN"/>
              </w:rPr>
              <w:t>和纸质申请材料各一套</w:t>
            </w:r>
            <w:r>
              <w:rPr>
                <w:rFonts w:hint="eastAsia" w:ascii="仿宋_GB2312" w:hAnsi="仿宋_GB2312" w:eastAsia="仿宋_GB2312" w:cs="仿宋_GB2312"/>
                <w:bCs/>
                <w:color w:val="auto"/>
                <w:szCs w:val="21"/>
                <w:highlight w:val="none"/>
              </w:rPr>
              <w:t>，电子文档的命名与材料名称一致。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widowControl/>
              <w:autoSpaceDN w:val="0"/>
              <w:spacing w:line="336" w:lineRule="auto"/>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w:t>
            </w:r>
          </w:p>
        </w:tc>
        <w:tc>
          <w:tcPr>
            <w:tcW w:w="4732"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2"/>
                <w:sz w:val="21"/>
                <w:szCs w:val="21"/>
                <w:highlight w:val="none"/>
                <w:lang w:val="en-US" w:eastAsia="zh-CN" w:bidi="ar-SA"/>
              </w:rPr>
              <w:t>物业联盟简介以及相关章程性文件</w:t>
            </w:r>
          </w:p>
        </w:tc>
        <w:tc>
          <w:tcPr>
            <w:tcW w:w="2397" w:type="dxa"/>
            <w:noWrap w:val="0"/>
            <w:vAlign w:val="center"/>
          </w:tcPr>
          <w:p>
            <w:pPr>
              <w:widowControl/>
              <w:autoSpaceDN w:val="0"/>
              <w:spacing w:line="336" w:lineRule="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原件（盖章）</w:t>
            </w:r>
          </w:p>
        </w:tc>
        <w:tc>
          <w:tcPr>
            <w:tcW w:w="1654"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widowControl/>
              <w:autoSpaceDN w:val="0"/>
              <w:spacing w:line="336" w:lineRule="auto"/>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w:t>
            </w:r>
          </w:p>
        </w:tc>
        <w:tc>
          <w:tcPr>
            <w:tcW w:w="4732"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物业联盟共建协议</w:t>
            </w:r>
          </w:p>
        </w:tc>
        <w:tc>
          <w:tcPr>
            <w:tcW w:w="2397"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原件（盖章）</w:t>
            </w:r>
          </w:p>
        </w:tc>
        <w:tc>
          <w:tcPr>
            <w:tcW w:w="1654"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dxa"/>
            <w:noWrap w:val="0"/>
            <w:vAlign w:val="center"/>
          </w:tcPr>
          <w:p>
            <w:pPr>
              <w:widowControl/>
              <w:autoSpaceDN w:val="0"/>
              <w:spacing w:line="336" w:lineRule="auto"/>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4</w:t>
            </w:r>
          </w:p>
        </w:tc>
        <w:tc>
          <w:tcPr>
            <w:tcW w:w="4732" w:type="dxa"/>
            <w:noWrap w:val="0"/>
            <w:vAlign w:val="center"/>
          </w:tcPr>
          <w:p>
            <w:pPr>
              <w:spacing w:line="280" w:lineRule="exact"/>
              <w:rPr>
                <w:rFonts w:hint="eastAsia" w:ascii="仿宋_GB2312" w:hAnsi="Times New Roman" w:eastAsia="仿宋_GB2312" w:cs="Times New Roman"/>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lang w:eastAsia="zh-CN"/>
              </w:rPr>
              <w:t>物业联盟成员单位信用信息报告（信用中国网站打印）</w:t>
            </w:r>
          </w:p>
        </w:tc>
        <w:tc>
          <w:tcPr>
            <w:tcW w:w="2397" w:type="dxa"/>
            <w:noWrap w:val="0"/>
            <w:vAlign w:val="center"/>
          </w:tcPr>
          <w:p>
            <w:pPr>
              <w:spacing w:line="280" w:lineRule="exact"/>
              <w:jc w:val="both"/>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打印（盖章）</w:t>
            </w:r>
          </w:p>
        </w:tc>
        <w:tc>
          <w:tcPr>
            <w:tcW w:w="1654"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w:t>
            </w:r>
          </w:p>
        </w:tc>
        <w:tc>
          <w:tcPr>
            <w:tcW w:w="4732" w:type="dxa"/>
            <w:noWrap w:val="0"/>
            <w:vAlign w:val="center"/>
          </w:tcPr>
          <w:p>
            <w:pPr>
              <w:spacing w:line="280" w:lineRule="exact"/>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eastAsia="zh-CN"/>
              </w:rPr>
              <w:t>物业联盟成员单位服务（或管理）的福田区产业用房情况介绍（含地址、建筑面积、空置率、招商情况、租金等情况）</w:t>
            </w:r>
          </w:p>
        </w:tc>
        <w:tc>
          <w:tcPr>
            <w:tcW w:w="2397" w:type="dxa"/>
            <w:noWrap w:val="0"/>
            <w:vAlign w:val="center"/>
          </w:tcPr>
          <w:p>
            <w:pPr>
              <w:spacing w:line="280" w:lineRule="exact"/>
              <w:jc w:val="both"/>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eastAsia="zh-CN"/>
              </w:rPr>
              <w:t>原件（盖章）</w:t>
            </w:r>
          </w:p>
        </w:tc>
        <w:tc>
          <w:tcPr>
            <w:tcW w:w="1654"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widowControl/>
              <w:autoSpaceDN w:val="0"/>
              <w:spacing w:line="336" w:lineRule="auto"/>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6</w:t>
            </w:r>
          </w:p>
        </w:tc>
        <w:tc>
          <w:tcPr>
            <w:tcW w:w="4732" w:type="dxa"/>
            <w:noWrap w:val="0"/>
            <w:vAlign w:val="center"/>
          </w:tcPr>
          <w:p>
            <w:pPr>
              <w:widowControl w:val="0"/>
              <w:autoSpaceDN w:val="0"/>
              <w:spacing w:line="400" w:lineRule="exact"/>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主管部门要求提交的其他材料</w:t>
            </w:r>
          </w:p>
        </w:tc>
        <w:tc>
          <w:tcPr>
            <w:tcW w:w="2397"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Cs w:val="21"/>
                <w:highlight w:val="none"/>
                <w:lang w:val="en-US" w:eastAsia="zh-CN"/>
              </w:rPr>
              <w:t>按要求提供</w:t>
            </w:r>
          </w:p>
        </w:tc>
        <w:tc>
          <w:tcPr>
            <w:tcW w:w="1654"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bl>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认定途径：</w:t>
      </w:r>
      <w:r>
        <w:rPr>
          <w:rFonts w:hint="eastAsia" w:ascii="仿宋_GB2312" w:hAnsi="仿宋_GB2312" w:eastAsia="仿宋_GB2312" w:cs="仿宋_GB2312"/>
          <w:b w:val="0"/>
          <w:bCs w:val="0"/>
          <w:color w:val="auto"/>
          <w:sz w:val="32"/>
          <w:szCs w:val="32"/>
          <w:highlight w:val="none"/>
          <w:lang w:val="en-US" w:eastAsia="zh-CN"/>
        </w:rPr>
        <w:t>由拟成立物业联盟的机构，向物业所在地街道企业服务部或区产业部门提出书面申请。</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default" w:ascii="Arial" w:hAnsi="Times New Roman" w:eastAsia="楷体_GB2312" w:cs="Times New Roman"/>
          <w:b/>
          <w:bCs/>
          <w:color w:val="auto"/>
          <w:sz w:val="32"/>
          <w:szCs w:val="32"/>
          <w:highlight w:val="yellow"/>
          <w:lang w:val="en-US" w:eastAsia="zh-CN"/>
        </w:rPr>
      </w:pPr>
      <w:r>
        <w:rPr>
          <w:rFonts w:hint="eastAsia" w:ascii="楷体_GB2312" w:hAnsi="楷体_GB2312" w:eastAsia="楷体_GB2312" w:cs="Times New Roman"/>
          <w:b/>
          <w:bCs/>
          <w:color w:val="auto"/>
          <w:sz w:val="32"/>
          <w:szCs w:val="32"/>
          <w:highlight w:val="yellow"/>
          <w:lang w:val="en-US" w:eastAsia="zh-CN"/>
        </w:rPr>
        <w:t>2.物业联盟活动支持</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default" w:ascii="仿宋_GB2312" w:hAnsi="仿宋_GB2312" w:eastAsia="仿宋_GB2312" w:cs="Times New Roman"/>
          <w:color w:val="auto"/>
          <w:sz w:val="32"/>
          <w:szCs w:val="32"/>
          <w:highlight w:val="yellow"/>
          <w:lang w:val="en-US" w:eastAsia="zh-CN"/>
        </w:rPr>
      </w:pPr>
      <w:r>
        <w:rPr>
          <w:rFonts w:ascii="仿宋_GB2312" w:hAnsi="仿宋_GB2312" w:eastAsia="仿宋_GB2312" w:cs="Times New Roman"/>
          <w:b/>
          <w:color w:val="auto"/>
          <w:sz w:val="32"/>
          <w:szCs w:val="32"/>
          <w:highlight w:val="yellow"/>
        </w:rPr>
        <w:t>项目说明：</w:t>
      </w:r>
      <w:r>
        <w:rPr>
          <w:rFonts w:hint="eastAsia" w:ascii="仿宋_GB2312" w:hAnsi="仿宋_GB2312" w:eastAsia="仿宋_GB2312" w:cs="仿宋_GB2312"/>
          <w:color w:val="auto"/>
          <w:sz w:val="32"/>
          <w:szCs w:val="32"/>
          <w:highlight w:val="yellow"/>
          <w:lang w:val="en-US" w:eastAsia="zh-CN"/>
        </w:rPr>
        <w:t>对物业联盟举办的招商推介、主题沙龙、资源对接等活动，经事前备案和事后审计，给予主办方活动支持。</w:t>
      </w:r>
      <w:r>
        <w:rPr>
          <w:rFonts w:hint="eastAsia" w:ascii="仿宋_GB2312" w:hAnsi="仿宋_GB2312" w:eastAsia="仿宋_GB2312" w:cs="Times New Roman"/>
          <w:color w:val="auto"/>
          <w:sz w:val="32"/>
          <w:szCs w:val="32"/>
          <w:highlight w:val="yellow"/>
        </w:rPr>
        <w:t>按活动专项审计核定金额的50%，单次活动最高10万元，</w:t>
      </w:r>
      <w:r>
        <w:rPr>
          <w:rFonts w:hint="eastAsia" w:ascii="仿宋_GB2312" w:hAnsi="仿宋_GB2312" w:eastAsia="仿宋_GB2312" w:cs="Times New Roman"/>
          <w:color w:val="auto"/>
          <w:sz w:val="32"/>
          <w:szCs w:val="32"/>
          <w:highlight w:val="yellow"/>
          <w:lang w:eastAsia="zh-CN"/>
        </w:rPr>
        <w:t>同一联盟</w:t>
      </w:r>
      <w:r>
        <w:rPr>
          <w:rFonts w:hint="eastAsia" w:ascii="仿宋_GB2312" w:hAnsi="仿宋_GB2312" w:eastAsia="仿宋_GB2312" w:cs="Times New Roman"/>
          <w:color w:val="auto"/>
          <w:sz w:val="32"/>
          <w:szCs w:val="32"/>
          <w:highlight w:val="yellow"/>
        </w:rPr>
        <w:t>全年累计支持最高100万元。</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Times New Roman"/>
          <w:b/>
          <w:color w:val="auto"/>
          <w:sz w:val="32"/>
          <w:szCs w:val="32"/>
          <w:highlight w:val="yellow"/>
          <w:lang w:val="en-US" w:eastAsia="zh-CN"/>
        </w:rPr>
        <w:t>申报条件</w:t>
      </w:r>
      <w:r>
        <w:rPr>
          <w:rFonts w:ascii="仿宋_GB2312" w:hAnsi="仿宋_GB2312" w:eastAsia="仿宋_GB2312" w:cs="Times New Roman"/>
          <w:b/>
          <w:color w:val="auto"/>
          <w:sz w:val="32"/>
          <w:szCs w:val="32"/>
          <w:highlight w:val="yellow"/>
        </w:rPr>
        <w:t>：</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yellow"/>
          <w:lang w:val="en-US" w:eastAsia="zh-CN"/>
        </w:rPr>
        <w:t>（1）活动须经事前备案；</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yellow"/>
          <w:lang w:val="en-US" w:eastAsia="zh-CN"/>
        </w:rPr>
        <w:t>（2）活动完成并经专项审计；</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yellow"/>
          <w:lang w:val="en-US" w:eastAsia="zh-CN"/>
        </w:rPr>
        <w:t>（3）由活动主办方（须为联盟成员单位）提出申请，每年可多次申请。</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eastAsia" w:ascii="黑体" w:hAnsi="黑体" w:eastAsia="黑体" w:cs="Times New Roman"/>
          <w:color w:val="auto"/>
          <w:sz w:val="32"/>
          <w:szCs w:val="32"/>
          <w:highlight w:val="none"/>
          <w:lang w:eastAsia="zh-CN"/>
        </w:rPr>
      </w:pPr>
      <w:r>
        <w:rPr>
          <w:rFonts w:ascii="仿宋_GB2312" w:hAnsi="仿宋_GB2312" w:eastAsia="仿宋_GB2312" w:cs="Times New Roman"/>
          <w:b/>
          <w:color w:val="auto"/>
          <w:sz w:val="32"/>
          <w:szCs w:val="32"/>
          <w:highlight w:val="none"/>
        </w:rPr>
        <w:t>申报材料：</w:t>
      </w:r>
    </w:p>
    <w:tbl>
      <w:tblPr>
        <w:tblStyle w:val="3"/>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4732"/>
        <w:gridCol w:w="2397"/>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color w:val="auto"/>
                <w:sz w:val="21"/>
                <w:szCs w:val="21"/>
                <w:highlight w:val="none"/>
              </w:rPr>
              <w:t>序号</w:t>
            </w:r>
          </w:p>
        </w:tc>
        <w:tc>
          <w:tcPr>
            <w:tcW w:w="4732"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color w:val="auto"/>
                <w:sz w:val="21"/>
                <w:szCs w:val="21"/>
                <w:highlight w:val="none"/>
              </w:rPr>
              <w:t>材料名称</w:t>
            </w:r>
          </w:p>
        </w:tc>
        <w:tc>
          <w:tcPr>
            <w:tcW w:w="2397"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color w:val="auto"/>
                <w:sz w:val="21"/>
                <w:szCs w:val="21"/>
                <w:highlight w:val="none"/>
              </w:rPr>
              <w:t>材料要求</w:t>
            </w:r>
          </w:p>
        </w:tc>
        <w:tc>
          <w:tcPr>
            <w:tcW w:w="1654"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4732"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福田区产业发展专项资金申请表</w:t>
            </w:r>
          </w:p>
        </w:tc>
        <w:tc>
          <w:tcPr>
            <w:tcW w:w="2397"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打印（盖章）</w:t>
            </w:r>
          </w:p>
        </w:tc>
        <w:tc>
          <w:tcPr>
            <w:tcW w:w="1654" w:type="dxa"/>
            <w:vMerge w:val="restart"/>
            <w:noWrap w:val="0"/>
            <w:vAlign w:val="center"/>
          </w:tcPr>
          <w:p>
            <w:pPr>
              <w:widowControl w:val="0"/>
              <w:autoSpaceDN w:val="0"/>
              <w:spacing w:line="3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4732"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eastAsia="仿宋_GB2312"/>
                <w:color w:val="auto"/>
                <w:szCs w:val="21"/>
                <w:highlight w:val="none"/>
              </w:rPr>
              <w:t>申请单位证照（</w:t>
            </w:r>
            <w:r>
              <w:rPr>
                <w:rFonts w:hint="eastAsia" w:ascii="仿宋_GB2312" w:eastAsia="仿宋_GB2312"/>
                <w:color w:val="auto"/>
                <w:szCs w:val="21"/>
                <w:highlight w:val="none"/>
                <w:lang w:eastAsia="zh-CN"/>
              </w:rPr>
              <w:t>含社会团体法人登记证书</w:t>
            </w:r>
            <w:r>
              <w:rPr>
                <w:rFonts w:hint="eastAsia" w:ascii="仿宋_GB2312" w:eastAsia="仿宋_GB2312"/>
                <w:color w:val="auto"/>
                <w:szCs w:val="21"/>
                <w:highlight w:val="none"/>
                <w:lang w:val="en-US" w:eastAsia="zh-CN"/>
              </w:rPr>
              <w:t>/机构代码证、税务登记证或</w:t>
            </w:r>
            <w:r>
              <w:rPr>
                <w:rFonts w:ascii="仿宋_GB2312" w:eastAsia="仿宋_GB2312"/>
                <w:color w:val="auto"/>
                <w:szCs w:val="21"/>
                <w:highlight w:val="none"/>
              </w:rPr>
              <w:t>三证合一</w:t>
            </w:r>
            <w:r>
              <w:rPr>
                <w:rFonts w:hint="eastAsia" w:ascii="仿宋_GB2312" w:eastAsia="仿宋_GB2312"/>
                <w:color w:val="auto"/>
                <w:szCs w:val="21"/>
                <w:highlight w:val="none"/>
                <w:lang w:eastAsia="zh-CN"/>
              </w:rPr>
              <w:t>证照</w:t>
            </w:r>
            <w:r>
              <w:rPr>
                <w:rFonts w:hint="eastAsia" w:ascii="仿宋_GB2312" w:eastAsia="仿宋_GB2312"/>
                <w:color w:val="auto"/>
                <w:szCs w:val="21"/>
                <w:highlight w:val="none"/>
              </w:rPr>
              <w:t>）</w:t>
            </w:r>
          </w:p>
        </w:tc>
        <w:tc>
          <w:tcPr>
            <w:tcW w:w="2397"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验原件交复印件（盖章）</w:t>
            </w:r>
          </w:p>
        </w:tc>
        <w:tc>
          <w:tcPr>
            <w:tcW w:w="1654"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w:t>
            </w:r>
          </w:p>
        </w:tc>
        <w:tc>
          <w:tcPr>
            <w:tcW w:w="4732"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2"/>
                <w:sz w:val="21"/>
                <w:szCs w:val="21"/>
                <w:highlight w:val="none"/>
                <w:lang w:val="en-US" w:eastAsia="zh-CN" w:bidi="ar-SA"/>
              </w:rPr>
              <w:t>物业联盟成立的文件或相关章程性文件</w:t>
            </w:r>
          </w:p>
        </w:tc>
        <w:tc>
          <w:tcPr>
            <w:tcW w:w="2397" w:type="dxa"/>
            <w:noWrap w:val="0"/>
            <w:vAlign w:val="center"/>
          </w:tcPr>
          <w:p>
            <w:pPr>
              <w:widowControl/>
              <w:autoSpaceDN w:val="0"/>
              <w:spacing w:line="336" w:lineRule="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验原件交复印件（盖章）</w:t>
            </w:r>
          </w:p>
        </w:tc>
        <w:tc>
          <w:tcPr>
            <w:tcW w:w="1654"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4</w:t>
            </w:r>
          </w:p>
        </w:tc>
        <w:tc>
          <w:tcPr>
            <w:tcW w:w="4732"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eastAsia="zh-CN"/>
              </w:rPr>
              <w:t>活动</w:t>
            </w:r>
            <w:r>
              <w:rPr>
                <w:rFonts w:hint="eastAsia" w:ascii="仿宋_GB2312" w:hAnsi="仿宋_GB2312" w:eastAsia="仿宋_GB2312" w:cs="仿宋_GB2312"/>
                <w:color w:val="auto"/>
                <w:sz w:val="21"/>
                <w:szCs w:val="21"/>
                <w:highlight w:val="none"/>
              </w:rPr>
              <w:t>经备案的证明文件</w:t>
            </w:r>
          </w:p>
        </w:tc>
        <w:tc>
          <w:tcPr>
            <w:tcW w:w="2397"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验原件交复印件（盖章）</w:t>
            </w:r>
          </w:p>
        </w:tc>
        <w:tc>
          <w:tcPr>
            <w:tcW w:w="1654"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32"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5</w:t>
            </w:r>
          </w:p>
        </w:tc>
        <w:tc>
          <w:tcPr>
            <w:tcW w:w="4732" w:type="dxa"/>
            <w:noWrap w:val="0"/>
            <w:vAlign w:val="center"/>
          </w:tcPr>
          <w:p>
            <w:pPr>
              <w:widowControl w:val="0"/>
              <w:autoSpaceDN w:val="0"/>
              <w:spacing w:line="3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申请项目实际发生费用的专项审计报告（按附件“福田区产业扶持资金专项审计报告格式规范”要求编制）</w:t>
            </w:r>
          </w:p>
        </w:tc>
        <w:tc>
          <w:tcPr>
            <w:tcW w:w="2397"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原件（盖章）</w:t>
            </w:r>
          </w:p>
        </w:tc>
        <w:tc>
          <w:tcPr>
            <w:tcW w:w="1654"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6</w:t>
            </w:r>
          </w:p>
        </w:tc>
        <w:tc>
          <w:tcPr>
            <w:tcW w:w="4732" w:type="dxa"/>
            <w:noWrap w:val="0"/>
            <w:vAlign w:val="center"/>
          </w:tcPr>
          <w:p>
            <w:pPr>
              <w:widowControl w:val="0"/>
              <w:autoSpaceDN w:val="0"/>
              <w:spacing w:line="400" w:lineRule="exac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活动</w:t>
            </w:r>
            <w:r>
              <w:rPr>
                <w:rFonts w:hint="eastAsia" w:ascii="仿宋_GB2312" w:hAnsi="仿宋_GB2312" w:eastAsia="仿宋_GB2312" w:cs="仿宋_GB2312"/>
                <w:color w:val="auto"/>
                <w:sz w:val="21"/>
                <w:szCs w:val="21"/>
                <w:highlight w:val="none"/>
              </w:rPr>
              <w:t>总结报告（包活动介绍及意义、活动</w:t>
            </w:r>
            <w:r>
              <w:rPr>
                <w:rFonts w:hint="eastAsia" w:ascii="仿宋_GB2312" w:hAnsi="仿宋_GB2312" w:eastAsia="仿宋_GB2312" w:cs="仿宋_GB2312"/>
                <w:color w:val="auto"/>
                <w:sz w:val="21"/>
                <w:szCs w:val="21"/>
                <w:highlight w:val="none"/>
                <w:lang w:val="en-US" w:eastAsia="zh-CN"/>
              </w:rPr>
              <w:t>主题</w:t>
            </w:r>
            <w:r>
              <w:rPr>
                <w:rFonts w:hint="eastAsia" w:ascii="仿宋_GB2312" w:hAnsi="仿宋_GB2312" w:eastAsia="仿宋_GB2312" w:cs="仿宋_GB2312"/>
                <w:color w:val="auto"/>
                <w:sz w:val="21"/>
                <w:szCs w:val="21"/>
                <w:highlight w:val="none"/>
              </w:rPr>
              <w:t>及特点，</w:t>
            </w:r>
            <w:r>
              <w:rPr>
                <w:rFonts w:hint="eastAsia" w:ascii="仿宋_GB2312" w:hAnsi="仿宋_GB2312" w:eastAsia="仿宋_GB2312" w:cs="仿宋_GB2312"/>
                <w:color w:val="auto"/>
                <w:sz w:val="21"/>
                <w:szCs w:val="21"/>
                <w:highlight w:val="none"/>
                <w:lang w:val="en-US" w:eastAsia="zh-CN"/>
              </w:rPr>
              <w:t>推介项目落地情况、资源对接共享情况</w:t>
            </w:r>
            <w:r>
              <w:rPr>
                <w:rFonts w:hint="eastAsia" w:ascii="仿宋_GB2312" w:hAnsi="仿宋_GB2312" w:eastAsia="仿宋_GB2312" w:cs="仿宋_GB2312"/>
                <w:color w:val="auto"/>
                <w:sz w:val="21"/>
                <w:szCs w:val="21"/>
                <w:highlight w:val="none"/>
              </w:rPr>
              <w:t>等相关数据说明）</w:t>
            </w:r>
          </w:p>
        </w:tc>
        <w:tc>
          <w:tcPr>
            <w:tcW w:w="2397" w:type="dxa"/>
            <w:noWrap w:val="0"/>
            <w:vAlign w:val="center"/>
          </w:tcPr>
          <w:p>
            <w:pPr>
              <w:widowControl/>
              <w:autoSpaceDN w:val="0"/>
              <w:spacing w:line="336" w:lineRule="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打印（盖章）</w:t>
            </w:r>
          </w:p>
        </w:tc>
        <w:tc>
          <w:tcPr>
            <w:tcW w:w="1654"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7</w:t>
            </w:r>
          </w:p>
        </w:tc>
        <w:tc>
          <w:tcPr>
            <w:tcW w:w="4732" w:type="dxa"/>
            <w:noWrap w:val="0"/>
            <w:vAlign w:val="center"/>
          </w:tcPr>
          <w:p>
            <w:pPr>
              <w:widowControl w:val="0"/>
              <w:autoSpaceDN w:val="0"/>
              <w:spacing w:line="400" w:lineRule="exac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参加活动</w:t>
            </w:r>
            <w:r>
              <w:rPr>
                <w:rFonts w:hint="eastAsia" w:ascii="仿宋_GB2312" w:hAnsi="仿宋_GB2312" w:eastAsia="仿宋_GB2312" w:cs="仿宋_GB2312"/>
                <w:color w:val="auto"/>
                <w:sz w:val="21"/>
                <w:szCs w:val="21"/>
                <w:highlight w:val="none"/>
              </w:rPr>
              <w:t>企业</w:t>
            </w:r>
            <w:r>
              <w:rPr>
                <w:rFonts w:hint="eastAsia" w:ascii="仿宋_GB2312" w:hAnsi="仿宋_GB2312" w:eastAsia="仿宋_GB2312" w:cs="仿宋_GB2312"/>
                <w:color w:val="auto"/>
                <w:sz w:val="21"/>
                <w:szCs w:val="21"/>
                <w:highlight w:val="none"/>
                <w:lang w:val="en-US" w:eastAsia="zh-CN"/>
              </w:rPr>
              <w:t>及人员签名</w:t>
            </w:r>
            <w:r>
              <w:rPr>
                <w:rFonts w:hint="eastAsia" w:ascii="仿宋_GB2312" w:hAnsi="仿宋_GB2312" w:eastAsia="仿宋_GB2312" w:cs="仿宋_GB2312"/>
                <w:color w:val="auto"/>
                <w:sz w:val="21"/>
                <w:szCs w:val="21"/>
                <w:highlight w:val="none"/>
              </w:rPr>
              <w:t>表（按附件“</w:t>
            </w:r>
            <w:r>
              <w:rPr>
                <w:rFonts w:hint="eastAsia" w:ascii="仿宋_GB2312" w:hAnsi="仿宋_GB2312" w:eastAsia="仿宋_GB2312" w:cs="仿宋_GB2312"/>
                <w:color w:val="auto"/>
                <w:sz w:val="21"/>
                <w:szCs w:val="21"/>
                <w:highlight w:val="none"/>
                <w:lang w:val="en-US" w:eastAsia="zh-CN"/>
              </w:rPr>
              <w:t>物业联盟活动签到表</w:t>
            </w:r>
            <w:r>
              <w:rPr>
                <w:rFonts w:hint="eastAsia" w:ascii="仿宋_GB2312" w:hAnsi="仿宋_GB2312" w:eastAsia="仿宋_GB2312" w:cs="仿宋_GB2312"/>
                <w:color w:val="auto"/>
                <w:sz w:val="21"/>
                <w:szCs w:val="21"/>
                <w:highlight w:val="none"/>
              </w:rPr>
              <w:t>”要求填写，含</w:t>
            </w:r>
            <w:r>
              <w:rPr>
                <w:rFonts w:hint="eastAsia" w:ascii="仿宋_GB2312" w:hAnsi="仿宋_GB2312" w:eastAsia="仿宋_GB2312" w:cs="仿宋_GB2312"/>
                <w:color w:val="auto"/>
                <w:sz w:val="21"/>
                <w:szCs w:val="21"/>
                <w:highlight w:val="none"/>
                <w:lang w:val="en-US" w:eastAsia="zh-CN"/>
              </w:rPr>
              <w:t>参加人员姓名、单位名称、</w:t>
            </w:r>
            <w:r>
              <w:rPr>
                <w:rFonts w:hint="eastAsia" w:ascii="仿宋_GB2312" w:hAnsi="仿宋_GB2312" w:eastAsia="仿宋_GB2312" w:cs="仿宋_GB2312"/>
                <w:color w:val="auto"/>
                <w:sz w:val="21"/>
                <w:szCs w:val="21"/>
                <w:highlight w:val="none"/>
              </w:rPr>
              <w:t>联系电话、签名内容）</w:t>
            </w:r>
          </w:p>
        </w:tc>
        <w:tc>
          <w:tcPr>
            <w:tcW w:w="2397" w:type="dxa"/>
            <w:noWrap w:val="0"/>
            <w:vAlign w:val="center"/>
          </w:tcPr>
          <w:p>
            <w:pPr>
              <w:widowControl/>
              <w:autoSpaceDN w:val="0"/>
              <w:spacing w:line="336" w:lineRule="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验原件交复印件（盖章）</w:t>
            </w:r>
          </w:p>
        </w:tc>
        <w:tc>
          <w:tcPr>
            <w:tcW w:w="1654"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widowControl/>
              <w:autoSpaceDN w:val="0"/>
              <w:spacing w:line="336" w:lineRule="auto"/>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8</w:t>
            </w:r>
          </w:p>
        </w:tc>
        <w:tc>
          <w:tcPr>
            <w:tcW w:w="4732" w:type="dxa"/>
            <w:noWrap w:val="0"/>
            <w:vAlign w:val="center"/>
          </w:tcPr>
          <w:p>
            <w:pPr>
              <w:widowControl w:val="0"/>
              <w:autoSpaceDN w:val="0"/>
              <w:spacing w:line="400" w:lineRule="exact"/>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Cs w:val="21"/>
                <w:highlight w:val="none"/>
                <w:lang w:eastAsia="zh-CN"/>
              </w:rPr>
              <w:t>物业联盟成员单位信用信息报告（信用中国网站打印）</w:t>
            </w:r>
          </w:p>
        </w:tc>
        <w:tc>
          <w:tcPr>
            <w:tcW w:w="2397"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打印（盖章）</w:t>
            </w:r>
          </w:p>
        </w:tc>
        <w:tc>
          <w:tcPr>
            <w:tcW w:w="1654"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widowControl/>
              <w:autoSpaceDN w:val="0"/>
              <w:spacing w:line="336" w:lineRule="auto"/>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9</w:t>
            </w:r>
          </w:p>
        </w:tc>
        <w:tc>
          <w:tcPr>
            <w:tcW w:w="4732" w:type="dxa"/>
            <w:noWrap w:val="0"/>
            <w:vAlign w:val="center"/>
          </w:tcPr>
          <w:p>
            <w:pPr>
              <w:widowControl w:val="0"/>
              <w:autoSpaceDN w:val="0"/>
              <w:spacing w:line="400" w:lineRule="exact"/>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主管部门要求提供的其他材料</w:t>
            </w:r>
          </w:p>
        </w:tc>
        <w:tc>
          <w:tcPr>
            <w:tcW w:w="2397"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Cs w:val="21"/>
                <w:highlight w:val="none"/>
                <w:lang w:val="en-US" w:eastAsia="zh-CN"/>
              </w:rPr>
              <w:t>按要求提供</w:t>
            </w:r>
          </w:p>
        </w:tc>
        <w:tc>
          <w:tcPr>
            <w:tcW w:w="1654" w:type="dxa"/>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bl>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备案途径：</w:t>
      </w:r>
      <w:r>
        <w:rPr>
          <w:rFonts w:hint="eastAsia" w:ascii="仿宋_GB2312" w:hAnsi="仿宋_GB2312" w:eastAsia="仿宋_GB2312" w:cs="仿宋_GB2312"/>
          <w:b w:val="0"/>
          <w:bCs w:val="0"/>
          <w:color w:val="auto"/>
          <w:sz w:val="32"/>
          <w:szCs w:val="32"/>
          <w:highlight w:val="none"/>
          <w:lang w:val="en-US" w:eastAsia="zh-CN"/>
        </w:rPr>
        <w:t>由活动主办方向街道企业服务部提出备案申请。（详见备案指南）</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default" w:ascii="Arial" w:hAnsi="Times New Roman" w:eastAsia="楷体_GB2312" w:cs="Times New Roman"/>
          <w:b/>
          <w:bCs/>
          <w:color w:val="auto"/>
          <w:sz w:val="32"/>
          <w:szCs w:val="32"/>
          <w:highlight w:val="yellow"/>
          <w:lang w:val="en-US" w:eastAsia="zh-CN"/>
        </w:rPr>
      </w:pPr>
      <w:bookmarkStart w:id="0" w:name="_GoBack"/>
      <w:r>
        <w:rPr>
          <w:rFonts w:hint="eastAsia" w:ascii="楷体_GB2312" w:hAnsi="楷体_GB2312" w:eastAsia="楷体_GB2312" w:cs="Times New Roman"/>
          <w:b/>
          <w:bCs/>
          <w:color w:val="auto"/>
          <w:sz w:val="32"/>
          <w:szCs w:val="32"/>
          <w:highlight w:val="yellow"/>
          <w:lang w:val="en-US" w:eastAsia="zh-CN"/>
        </w:rPr>
        <w:t>3.物业联盟评定支持</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eastAsia" w:ascii="仿宋_GB2312" w:hAnsi="仿宋_GB2312" w:eastAsia="仿宋_GB2312" w:cs="Times New Roman"/>
          <w:color w:val="auto"/>
          <w:sz w:val="32"/>
          <w:szCs w:val="32"/>
          <w:highlight w:val="yellow"/>
        </w:rPr>
      </w:pPr>
      <w:r>
        <w:rPr>
          <w:rFonts w:ascii="仿宋_GB2312" w:hAnsi="仿宋_GB2312" w:eastAsia="仿宋_GB2312" w:cs="Times New Roman"/>
          <w:b/>
          <w:color w:val="auto"/>
          <w:sz w:val="32"/>
          <w:szCs w:val="32"/>
          <w:highlight w:val="yellow"/>
        </w:rPr>
        <w:t>项目说明：</w:t>
      </w:r>
      <w:r>
        <w:rPr>
          <w:rFonts w:hint="eastAsia" w:ascii="仿宋_GB2312" w:hAnsi="仿宋_GB2312" w:eastAsia="仿宋_GB2312" w:cs="Times New Roman"/>
          <w:color w:val="auto"/>
          <w:sz w:val="32"/>
          <w:szCs w:val="32"/>
          <w:highlight w:val="yellow"/>
          <w:lang w:val="en-US" w:eastAsia="zh-CN"/>
        </w:rPr>
        <w:t>每年对经备案（认定）的物业联盟，内部有效的产业集合和产业生态链等情况进行综合评定，根据</w:t>
      </w:r>
      <w:r>
        <w:rPr>
          <w:rFonts w:hint="eastAsia" w:ascii="仿宋_GB2312" w:hAnsi="仿宋_GB2312" w:eastAsia="仿宋_GB2312" w:cs="Times New Roman"/>
          <w:color w:val="auto"/>
          <w:sz w:val="32"/>
          <w:szCs w:val="32"/>
          <w:highlight w:val="yellow"/>
        </w:rPr>
        <w:t>评定结果，</w:t>
      </w:r>
      <w:r>
        <w:rPr>
          <w:rFonts w:hint="eastAsia" w:ascii="仿宋_GB2312" w:hAnsi="仿宋_GB2312" w:eastAsia="仿宋_GB2312" w:cs="Times New Roman"/>
          <w:color w:val="auto"/>
          <w:sz w:val="32"/>
          <w:szCs w:val="32"/>
          <w:highlight w:val="yellow"/>
          <w:lang w:val="en-US" w:eastAsia="zh-CN"/>
        </w:rPr>
        <w:t>对前五名的物业联盟主体</w:t>
      </w:r>
      <w:r>
        <w:rPr>
          <w:rFonts w:hint="eastAsia" w:ascii="仿宋_GB2312" w:hAnsi="仿宋_GB2312" w:eastAsia="仿宋_GB2312" w:cs="Times New Roman"/>
          <w:color w:val="auto"/>
          <w:sz w:val="32"/>
          <w:szCs w:val="32"/>
          <w:highlight w:val="yellow"/>
        </w:rPr>
        <w:t>，每家最高10万元支持。</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eastAsia" w:ascii="仿宋_GB2312" w:hAnsi="仿宋_GB2312" w:eastAsia="仿宋_GB2312" w:cs="Times New Roman"/>
          <w:color w:val="auto"/>
          <w:sz w:val="32"/>
          <w:szCs w:val="32"/>
          <w:highlight w:val="yellow"/>
        </w:rPr>
      </w:pPr>
      <w:r>
        <w:rPr>
          <w:rFonts w:hint="eastAsia" w:ascii="仿宋_GB2312" w:hAnsi="仿宋_GB2312" w:eastAsia="仿宋_GB2312" w:cs="Times New Roman"/>
          <w:b/>
          <w:color w:val="auto"/>
          <w:sz w:val="32"/>
          <w:szCs w:val="32"/>
          <w:highlight w:val="yellow"/>
          <w:lang w:val="en-US" w:eastAsia="zh-CN"/>
        </w:rPr>
        <w:t>申报条件</w:t>
      </w:r>
      <w:r>
        <w:rPr>
          <w:rFonts w:ascii="仿宋_GB2312" w:hAnsi="仿宋_GB2312" w:eastAsia="仿宋_GB2312" w:cs="Times New Roman"/>
          <w:b/>
          <w:color w:val="auto"/>
          <w:sz w:val="32"/>
          <w:szCs w:val="32"/>
          <w:highlight w:val="yellow"/>
        </w:rPr>
        <w:t>：</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Times New Roman"/>
          <w:color w:val="auto"/>
          <w:sz w:val="32"/>
          <w:szCs w:val="32"/>
          <w:highlight w:val="yellow"/>
          <w:lang w:val="en-US" w:eastAsia="zh-CN"/>
        </w:rPr>
      </w:pPr>
      <w:r>
        <w:rPr>
          <w:rFonts w:hint="eastAsia" w:ascii="仿宋_GB2312" w:hAnsi="仿宋_GB2312" w:eastAsia="仿宋_GB2312" w:cs="Times New Roman"/>
          <w:color w:val="auto"/>
          <w:sz w:val="32"/>
          <w:szCs w:val="32"/>
          <w:highlight w:val="yellow"/>
          <w:lang w:val="en-US" w:eastAsia="zh-CN"/>
        </w:rPr>
        <w:t>（1）评定结果为前5名的物业联盟。</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Times New Roman"/>
          <w:color w:val="auto"/>
          <w:sz w:val="32"/>
          <w:szCs w:val="32"/>
          <w:highlight w:val="yellow"/>
          <w:lang w:val="en-US" w:eastAsia="zh-CN"/>
        </w:rPr>
      </w:pPr>
      <w:r>
        <w:rPr>
          <w:rFonts w:hint="eastAsia" w:ascii="仿宋_GB2312" w:hAnsi="仿宋_GB2312" w:eastAsia="仿宋_GB2312" w:cs="Times New Roman"/>
          <w:color w:val="auto"/>
          <w:sz w:val="32"/>
          <w:szCs w:val="32"/>
          <w:highlight w:val="yellow"/>
          <w:lang w:val="en-US" w:eastAsia="zh-CN"/>
        </w:rPr>
        <w:t>（2）对于未成立法人主体单位的物业联盟，由联盟成员单位协商一致并明确一个机构进行申报。</w:t>
      </w:r>
    </w:p>
    <w:bookmarkEnd w:id="0"/>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ascii="Arial" w:hAnsi="Times New Roman" w:eastAsia="宋体" w:cs="Times New Roman"/>
          <w:color w:val="auto"/>
          <w:sz w:val="32"/>
          <w:szCs w:val="32"/>
          <w:highlight w:val="none"/>
        </w:rPr>
      </w:pPr>
      <w:r>
        <w:rPr>
          <w:rFonts w:ascii="仿宋_GB2312" w:hAnsi="仿宋_GB2312" w:eastAsia="仿宋_GB2312" w:cs="Times New Roman"/>
          <w:b/>
          <w:color w:val="auto"/>
          <w:sz w:val="32"/>
          <w:szCs w:val="32"/>
          <w:highlight w:val="none"/>
        </w:rPr>
        <w:t>申报材料：</w:t>
      </w:r>
    </w:p>
    <w:tbl>
      <w:tblPr>
        <w:tblStyle w:val="3"/>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4369"/>
        <w:gridCol w:w="2439"/>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color w:val="auto"/>
                <w:sz w:val="21"/>
                <w:szCs w:val="21"/>
                <w:highlight w:val="none"/>
              </w:rPr>
              <w:t>序号</w:t>
            </w:r>
          </w:p>
        </w:tc>
        <w:tc>
          <w:tcPr>
            <w:tcW w:w="4369"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color w:val="auto"/>
                <w:sz w:val="21"/>
                <w:szCs w:val="21"/>
                <w:highlight w:val="none"/>
              </w:rPr>
              <w:t>材料名称</w:t>
            </w:r>
          </w:p>
        </w:tc>
        <w:tc>
          <w:tcPr>
            <w:tcW w:w="2439"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color w:val="auto"/>
                <w:sz w:val="21"/>
                <w:szCs w:val="21"/>
                <w:highlight w:val="none"/>
              </w:rPr>
              <w:t>材料要求</w:t>
            </w:r>
          </w:p>
        </w:tc>
        <w:tc>
          <w:tcPr>
            <w:tcW w:w="2068"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4369"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福田区产业发展专项资金申请表</w:t>
            </w:r>
          </w:p>
        </w:tc>
        <w:tc>
          <w:tcPr>
            <w:tcW w:w="2439"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打印（盖章）</w:t>
            </w:r>
          </w:p>
        </w:tc>
        <w:tc>
          <w:tcPr>
            <w:tcW w:w="2068" w:type="dxa"/>
            <w:vMerge w:val="restart"/>
            <w:noWrap w:val="0"/>
            <w:vAlign w:val="center"/>
          </w:tcPr>
          <w:p>
            <w:pPr>
              <w:widowControl w:val="0"/>
              <w:autoSpaceDN w:val="0"/>
              <w:spacing w:line="32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4369" w:type="dxa"/>
            <w:noWrap w:val="0"/>
            <w:vAlign w:val="center"/>
          </w:tcPr>
          <w:p>
            <w:pPr>
              <w:widowControl/>
              <w:autoSpaceDN w:val="0"/>
              <w:spacing w:line="336" w:lineRule="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申报组织的证照（三证合一证照）</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lang w:val="en-US" w:eastAsia="zh-CN"/>
              </w:rPr>
              <w:t>若无实体组织，则提供所有成员单位的</w:t>
            </w:r>
            <w:r>
              <w:rPr>
                <w:rFonts w:hint="eastAsia" w:ascii="仿宋_GB2312" w:hAnsi="仿宋_GB2312" w:eastAsia="仿宋_GB2312" w:cs="仿宋_GB2312"/>
                <w:color w:val="auto"/>
                <w:szCs w:val="21"/>
                <w:highlight w:val="none"/>
              </w:rPr>
              <w:t>单位证照（含营业执照、组织机构代码证、税务登记证/“三证合一”营业执照）</w:t>
            </w:r>
          </w:p>
        </w:tc>
        <w:tc>
          <w:tcPr>
            <w:tcW w:w="2439" w:type="dxa"/>
            <w:noWrap w:val="0"/>
            <w:vAlign w:val="center"/>
          </w:tcPr>
          <w:p>
            <w:pPr>
              <w:widowControl/>
              <w:autoSpaceDN w:val="0"/>
              <w:spacing w:line="336" w:lineRule="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验原件交复印件（盖章）</w:t>
            </w:r>
          </w:p>
        </w:tc>
        <w:tc>
          <w:tcPr>
            <w:tcW w:w="2068"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0"/>
            <w:vAlign w:val="center"/>
          </w:tcPr>
          <w:p>
            <w:pPr>
              <w:widowControl/>
              <w:autoSpaceDN w:val="0"/>
              <w:spacing w:line="336"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4369" w:type="dxa"/>
            <w:noWrap w:val="0"/>
            <w:vAlign w:val="center"/>
          </w:tcPr>
          <w:p>
            <w:pPr>
              <w:widowControl/>
              <w:autoSpaceDN w:val="0"/>
              <w:spacing w:line="336" w:lineRule="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物业联盟成立的文件或相关章程性文件</w:t>
            </w:r>
          </w:p>
        </w:tc>
        <w:tc>
          <w:tcPr>
            <w:tcW w:w="2439" w:type="dxa"/>
            <w:noWrap w:val="0"/>
            <w:vAlign w:val="center"/>
          </w:tcPr>
          <w:p>
            <w:pPr>
              <w:widowControl/>
              <w:autoSpaceDN w:val="0"/>
              <w:spacing w:line="336" w:lineRule="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验原件交复印件（盖章）</w:t>
            </w:r>
          </w:p>
        </w:tc>
        <w:tc>
          <w:tcPr>
            <w:tcW w:w="2068"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0"/>
            <w:vAlign w:val="center"/>
          </w:tcPr>
          <w:p>
            <w:pPr>
              <w:widowControl/>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4</w:t>
            </w:r>
          </w:p>
        </w:tc>
        <w:tc>
          <w:tcPr>
            <w:tcW w:w="4369" w:type="dxa"/>
            <w:noWrap w:val="0"/>
            <w:vAlign w:val="center"/>
          </w:tcPr>
          <w:p>
            <w:pPr>
              <w:widowControl/>
              <w:autoSpaceDN w:val="0"/>
              <w:spacing w:line="336" w:lineRule="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年度评定</w:t>
            </w:r>
            <w:r>
              <w:rPr>
                <w:rFonts w:hint="eastAsia" w:ascii="仿宋_GB2312" w:hAnsi="仿宋_GB2312" w:eastAsia="仿宋_GB2312" w:cs="仿宋_GB2312"/>
                <w:color w:val="auto"/>
                <w:sz w:val="21"/>
                <w:szCs w:val="21"/>
                <w:highlight w:val="none"/>
              </w:rPr>
              <w:t>结果证明材料</w:t>
            </w:r>
          </w:p>
        </w:tc>
        <w:tc>
          <w:tcPr>
            <w:tcW w:w="2439" w:type="dxa"/>
            <w:noWrap w:val="0"/>
            <w:vAlign w:val="center"/>
          </w:tcPr>
          <w:p>
            <w:pPr>
              <w:widowControl/>
              <w:autoSpaceDN w:val="0"/>
              <w:spacing w:line="336" w:lineRule="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验原件交复印件（盖章）</w:t>
            </w:r>
          </w:p>
        </w:tc>
        <w:tc>
          <w:tcPr>
            <w:tcW w:w="2068"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0"/>
            <w:vAlign w:val="center"/>
          </w:tcPr>
          <w:p>
            <w:pPr>
              <w:widowControl/>
              <w:spacing w:line="560" w:lineRule="exact"/>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w:t>
            </w:r>
          </w:p>
        </w:tc>
        <w:tc>
          <w:tcPr>
            <w:tcW w:w="4369"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信用信息报告（信用中国网站打印）</w:t>
            </w:r>
          </w:p>
        </w:tc>
        <w:tc>
          <w:tcPr>
            <w:tcW w:w="2439" w:type="dxa"/>
            <w:noWrap w:val="0"/>
            <w:vAlign w:val="center"/>
          </w:tcPr>
          <w:p>
            <w:pPr>
              <w:widowControl/>
              <w:autoSpaceDN w:val="0"/>
              <w:spacing w:line="336" w:lineRule="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2"/>
                <w:highlight w:val="none"/>
              </w:rPr>
              <w:t>打印（盖章）</w:t>
            </w:r>
          </w:p>
        </w:tc>
        <w:tc>
          <w:tcPr>
            <w:tcW w:w="2068" w:type="dxa"/>
            <w:vMerge w:val="continue"/>
            <w:noWrap w:val="0"/>
            <w:vAlign w:val="center"/>
          </w:tcPr>
          <w:p>
            <w:pPr>
              <w:widowControl/>
              <w:autoSpaceDN w:val="0"/>
              <w:spacing w:line="336" w:lineRule="auto"/>
              <w:textAlignment w:val="center"/>
              <w:rPr>
                <w:rFonts w:hint="eastAsia" w:ascii="仿宋_GB2312" w:hAnsi="仿宋_GB2312" w:eastAsia="仿宋_GB2312" w:cs="仿宋_GB2312"/>
                <w:color w:val="auto"/>
                <w:sz w:val="21"/>
                <w:szCs w:val="21"/>
                <w:highlight w:val="none"/>
              </w:rPr>
            </w:pPr>
          </w:p>
        </w:tc>
      </w:tr>
    </w:tbl>
    <w:p>
      <w:pPr>
        <w:keepNext w:val="0"/>
        <w:keepLines w:val="0"/>
        <w:pageBreakBefore w:val="0"/>
        <w:widowControl/>
        <w:kinsoku/>
        <w:wordWrap/>
        <w:overflowPunct/>
        <w:topLinePunct w:val="0"/>
        <w:autoSpaceDE/>
        <w:autoSpaceDN w:val="0"/>
        <w:bidi w:val="0"/>
        <w:adjustRightInd/>
        <w:snapToGrid/>
        <w:spacing w:line="560" w:lineRule="exact"/>
        <w:ind w:firstLine="654"/>
        <w:textAlignment w:val="auto"/>
        <w:rPr>
          <w:rFonts w:hint="default"/>
          <w:color w:val="auto"/>
          <w:highlight w:val="none"/>
          <w:lang w:val="en-US" w:eastAsia="zh-CN"/>
        </w:rPr>
      </w:pPr>
      <w:r>
        <w:rPr>
          <w:rFonts w:hint="eastAsia" w:ascii="黑体" w:hAnsi="黑体" w:eastAsia="黑体" w:cs="Times New Roman"/>
          <w:color w:val="auto"/>
          <w:sz w:val="32"/>
          <w:szCs w:val="32"/>
          <w:highlight w:val="none"/>
          <w:lang w:val="en-US" w:eastAsia="zh-CN"/>
        </w:rPr>
        <w:t>（四）重点项目支持</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项目说明：对区政府重点支持的特大、紧缺、关键项目，可采取“一事一议”的方式另行约定。</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黑体" w:hAnsi="黑体" w:eastAsia="黑体" w:cs="Times New Roman"/>
          <w:color w:val="auto"/>
          <w:sz w:val="32"/>
          <w:szCs w:val="32"/>
          <w:highlight w:val="none"/>
          <w:lang w:eastAsia="zh-CN"/>
        </w:rPr>
      </w:pPr>
      <w:r>
        <w:rPr>
          <w:rFonts w:ascii="黑体" w:hAnsi="黑体" w:eastAsia="黑体" w:cs="Times New Roman"/>
          <w:color w:val="auto"/>
          <w:sz w:val="32"/>
          <w:szCs w:val="32"/>
          <w:highlight w:val="none"/>
        </w:rPr>
        <w:t>五、</w:t>
      </w:r>
      <w:r>
        <w:rPr>
          <w:rFonts w:hint="eastAsia" w:ascii="黑体" w:hAnsi="黑体" w:eastAsia="黑体" w:cs="Times New Roman"/>
          <w:color w:val="auto"/>
          <w:sz w:val="32"/>
          <w:szCs w:val="32"/>
          <w:highlight w:val="none"/>
          <w:lang w:eastAsia="zh-CN"/>
        </w:rPr>
        <w:t>限制清单和除外</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（一）本政策各支持项目可不受企业上一年度在福田综合贡献的限制。</w:t>
      </w:r>
      <w:r>
        <w:rPr>
          <w:rFonts w:hint="eastAsia" w:ascii="仿宋_GB2312" w:hAnsi="仿宋_GB2312" w:eastAsia="仿宋_GB2312" w:cs="仿宋_GB2312"/>
          <w:b w:val="0"/>
          <w:bCs/>
          <w:strike w:val="0"/>
          <w:dstrike w:val="0"/>
          <w:color w:val="auto"/>
          <w:sz w:val="32"/>
          <w:szCs w:val="32"/>
          <w:highlight w:val="none"/>
          <w:u w:val="none" w:color="auto"/>
          <w:lang w:eastAsia="zh-CN"/>
        </w:rPr>
        <w:t>本政策</w:t>
      </w:r>
      <w:r>
        <w:rPr>
          <w:rFonts w:hint="eastAsia" w:ascii="仿宋_GB2312" w:hAnsi="仿宋_GB2312" w:eastAsia="仿宋_GB2312" w:cs="仿宋_GB2312"/>
          <w:b w:val="0"/>
          <w:bCs/>
          <w:strike w:val="0"/>
          <w:dstrike w:val="0"/>
          <w:color w:val="auto"/>
          <w:sz w:val="32"/>
          <w:szCs w:val="32"/>
          <w:highlight w:val="none"/>
          <w:u w:val="none" w:color="auto"/>
        </w:rPr>
        <w:t>支持资金</w:t>
      </w:r>
      <w:r>
        <w:rPr>
          <w:rFonts w:hint="eastAsia" w:ascii="仿宋_GB2312" w:hAnsi="仿宋_GB2312" w:eastAsia="仿宋_GB2312" w:cs="仿宋_GB2312"/>
          <w:b w:val="0"/>
          <w:bCs/>
          <w:strike w:val="0"/>
          <w:dstrike w:val="0"/>
          <w:color w:val="auto"/>
          <w:sz w:val="32"/>
          <w:szCs w:val="32"/>
          <w:highlight w:val="none"/>
          <w:u w:val="none" w:color="auto"/>
          <w:lang w:eastAsia="zh-CN"/>
        </w:rPr>
        <w:t>受</w:t>
      </w:r>
      <w:r>
        <w:rPr>
          <w:rFonts w:hint="eastAsia" w:ascii="仿宋_GB2312" w:hAnsi="仿宋_GB2312" w:eastAsia="仿宋_GB2312" w:cs="仿宋_GB2312"/>
          <w:b w:val="0"/>
          <w:bCs/>
          <w:strike w:val="0"/>
          <w:dstrike w:val="0"/>
          <w:color w:val="auto"/>
          <w:sz w:val="32"/>
          <w:szCs w:val="32"/>
          <w:highlight w:val="none"/>
          <w:u w:val="none" w:color="auto"/>
        </w:rPr>
        <w:t>年度</w:t>
      </w:r>
      <w:r>
        <w:rPr>
          <w:rFonts w:hint="eastAsia" w:ascii="仿宋_GB2312" w:hAnsi="仿宋_GB2312" w:eastAsia="仿宋_GB2312" w:cs="仿宋_GB2312"/>
          <w:b w:val="0"/>
          <w:bCs/>
          <w:strike w:val="0"/>
          <w:dstrike w:val="0"/>
          <w:color w:val="auto"/>
          <w:sz w:val="32"/>
          <w:szCs w:val="32"/>
          <w:highlight w:val="none"/>
          <w:u w:val="none" w:color="auto"/>
          <w:lang w:eastAsia="zh-CN"/>
        </w:rPr>
        <w:t>资金</w:t>
      </w:r>
      <w:r>
        <w:rPr>
          <w:rFonts w:hint="eastAsia" w:ascii="仿宋_GB2312" w:hAnsi="仿宋_GB2312" w:eastAsia="仿宋_GB2312" w:cs="仿宋_GB2312"/>
          <w:b w:val="0"/>
          <w:bCs/>
          <w:strike w:val="0"/>
          <w:dstrike w:val="0"/>
          <w:color w:val="auto"/>
          <w:sz w:val="32"/>
          <w:szCs w:val="32"/>
          <w:highlight w:val="none"/>
          <w:u w:val="none" w:color="auto"/>
        </w:rPr>
        <w:t>总额</w:t>
      </w:r>
      <w:r>
        <w:rPr>
          <w:rFonts w:hint="eastAsia" w:ascii="仿宋_GB2312" w:hAnsi="仿宋_GB2312" w:eastAsia="仿宋_GB2312" w:cs="仿宋_GB2312"/>
          <w:b w:val="0"/>
          <w:bCs/>
          <w:strike w:val="0"/>
          <w:dstrike w:val="0"/>
          <w:color w:val="auto"/>
          <w:sz w:val="32"/>
          <w:szCs w:val="32"/>
          <w:highlight w:val="none"/>
          <w:u w:val="none" w:color="auto"/>
          <w:lang w:eastAsia="zh-CN"/>
        </w:rPr>
        <w:t>控制</w:t>
      </w:r>
      <w:r>
        <w:rPr>
          <w:rStyle w:val="6"/>
          <w:rFonts w:hint="eastAsia" w:ascii="仿宋_GB2312" w:hAnsi="仿宋_GB2312" w:eastAsia="仿宋_GB2312" w:cs="仿宋_GB2312"/>
          <w:strike w:val="0"/>
          <w:dstrike w:val="0"/>
          <w:color w:val="auto"/>
          <w:sz w:val="32"/>
          <w:szCs w:val="32"/>
          <w:highlight w:val="none"/>
          <w:u w:val="none" w:color="auto"/>
          <w:lang w:eastAsia="zh-CN"/>
        </w:rPr>
        <w:t>，</w:t>
      </w:r>
      <w:r>
        <w:rPr>
          <w:rStyle w:val="6"/>
          <w:rFonts w:hint="eastAsia" w:ascii="仿宋_GB2312" w:hAnsi="仿宋_GB2312" w:eastAsia="仿宋_GB2312" w:cs="仿宋_GB2312"/>
          <w:strike w:val="0"/>
          <w:dstrike w:val="0"/>
          <w:color w:val="auto"/>
          <w:sz w:val="32"/>
          <w:szCs w:val="32"/>
          <w:highlight w:val="none"/>
          <w:u w:val="none" w:color="auto"/>
        </w:rPr>
        <w:t>数量有限，用完即止。</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Style w:val="6"/>
          <w:rFonts w:hint="eastAsia" w:ascii="仿宋_GB2312" w:hAnsi="仿宋_GB2312" w:eastAsia="仿宋_GB2312" w:cs="仿宋_GB2312"/>
          <w:strike w:val="0"/>
          <w:dstrike w:val="0"/>
          <w:color w:val="auto"/>
          <w:sz w:val="32"/>
          <w:szCs w:val="32"/>
          <w:highlight w:val="none"/>
          <w:u w:val="none" w:color="auto"/>
        </w:rPr>
        <w:t>（二）同一项目已获得福田区其他政策支持的，不予以重复支持。</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（三）企业（机构）申请“专业楼宇运营支持”“物业联盟”项目，不受注册登记、税务关系和统计关系在福田区的限制。</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ascii="Arial" w:hAnsi="Times New Roman" w:eastAsia="宋体" w:cs="Times New Roman"/>
          <w:color w:val="auto"/>
          <w:sz w:val="32"/>
          <w:szCs w:val="32"/>
          <w:highlight w:val="none"/>
        </w:rPr>
      </w:pPr>
      <w:r>
        <w:rPr>
          <w:rFonts w:hint="eastAsia" w:ascii="黑体" w:hAnsi="黑体" w:eastAsia="黑体" w:cs="Times New Roman"/>
          <w:color w:val="auto"/>
          <w:sz w:val="32"/>
          <w:szCs w:val="32"/>
          <w:highlight w:val="none"/>
          <w:lang w:eastAsia="zh-CN"/>
        </w:rPr>
        <w:t>六、</w:t>
      </w:r>
      <w:r>
        <w:rPr>
          <w:rFonts w:ascii="黑体" w:hAnsi="黑体" w:eastAsia="黑体" w:cs="Times New Roman"/>
          <w:color w:val="auto"/>
          <w:sz w:val="32"/>
          <w:szCs w:val="32"/>
          <w:highlight w:val="none"/>
        </w:rPr>
        <w:t>申请流程</w:t>
      </w:r>
    </w:p>
    <w:p>
      <w:pPr>
        <w:keepNext w:val="0"/>
        <w:keepLines w:val="0"/>
        <w:pageBreakBefore w:val="0"/>
        <w:widowControl/>
        <w:kinsoku/>
        <w:wordWrap/>
        <w:overflowPunct/>
        <w:topLinePunct w:val="0"/>
        <w:autoSpaceDE/>
        <w:autoSpaceDN w:val="0"/>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eastAsia="仿宋_GB2312"/>
          <w:b/>
          <w:bCs/>
          <w:color w:val="auto"/>
          <w:kern w:val="0"/>
          <w:sz w:val="32"/>
          <w:szCs w:val="32"/>
          <w:highlight w:val="none"/>
          <w:lang w:bidi="ar"/>
        </w:rPr>
        <w:t>第一步：</w:t>
      </w:r>
      <w:r>
        <w:rPr>
          <w:rFonts w:hint="eastAsia" w:ascii="仿宋_GB2312" w:hAnsi="仿宋_GB2312" w:eastAsia="仿宋_GB2312" w:cs="仿宋_GB2312"/>
          <w:color w:val="auto"/>
          <w:sz w:val="32"/>
          <w:szCs w:val="32"/>
          <w:highlight w:val="none"/>
        </w:rPr>
        <w:t>登陆“福田区企业服务智能系统平台”（网址：https://qfzx.szft.gov.cn），在线填报《福田区产业发展专项资金申请表》等信息表格。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政策性产业用房</w:t>
      </w:r>
      <w:r>
        <w:rPr>
          <w:rFonts w:hint="eastAsia" w:ascii="仿宋_GB2312" w:hAnsi="仿宋_GB2312" w:eastAsia="仿宋_GB2312" w:cs="仿宋_GB2312"/>
          <w:color w:val="auto"/>
          <w:sz w:val="32"/>
          <w:szCs w:val="32"/>
          <w:highlight w:val="none"/>
          <w:lang w:eastAsia="zh-CN"/>
        </w:rPr>
        <w:t>支持”项目</w:t>
      </w:r>
      <w:r>
        <w:rPr>
          <w:rFonts w:hint="eastAsia" w:ascii="仿宋_GB2312" w:hAnsi="仿宋_GB2312" w:eastAsia="仿宋_GB2312" w:cs="仿宋_GB2312"/>
          <w:color w:val="auto"/>
          <w:sz w:val="32"/>
          <w:szCs w:val="32"/>
          <w:highlight w:val="none"/>
          <w:lang w:val="en-US" w:eastAsia="zh-CN"/>
        </w:rPr>
        <w:t>根据相关规定进行申报。</w:t>
      </w:r>
    </w:p>
    <w:p>
      <w:pPr>
        <w:keepNext w:val="0"/>
        <w:keepLines w:val="0"/>
        <w:pageBreakBefore w:val="0"/>
        <w:widowControl/>
        <w:kinsoku/>
        <w:wordWrap/>
        <w:overflowPunct/>
        <w:topLinePunct w:val="0"/>
        <w:autoSpaceDE/>
        <w:autoSpaceDN w:val="0"/>
        <w:bidi w:val="0"/>
        <w:adjustRightInd/>
        <w:snapToGrid/>
        <w:spacing w:line="560" w:lineRule="exact"/>
        <w:ind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第二步：</w:t>
      </w:r>
      <w:r>
        <w:rPr>
          <w:rFonts w:ascii="仿宋_GB2312" w:hAnsi="仿宋_GB2312" w:eastAsia="仿宋_GB2312" w:cs="仿宋_GB2312"/>
          <w:color w:val="auto"/>
          <w:sz w:val="32"/>
          <w:szCs w:val="32"/>
          <w:highlight w:val="none"/>
        </w:rPr>
        <w:t>按照本《申请指南》的要求准备申报材料，并完成材料的扫描上传（文档总量控制在20M以内）。电子文档的命名与材料名称保持一致。</w:t>
      </w:r>
    </w:p>
    <w:p>
      <w:pPr>
        <w:keepNext w:val="0"/>
        <w:keepLines w:val="0"/>
        <w:pageBreakBefore w:val="0"/>
        <w:widowControl/>
        <w:kinsoku/>
        <w:wordWrap/>
        <w:overflowPunct/>
        <w:topLinePunct w:val="0"/>
        <w:autoSpaceDE/>
        <w:autoSpaceDN w:val="0"/>
        <w:bidi w:val="0"/>
        <w:adjustRightInd/>
        <w:snapToGrid/>
        <w:spacing w:line="560" w:lineRule="exact"/>
        <w:ind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Times New Roman"/>
          <w:b/>
          <w:color w:val="auto"/>
          <w:sz w:val="32"/>
          <w:szCs w:val="32"/>
          <w:highlight w:val="none"/>
        </w:rPr>
        <w:t>第</w:t>
      </w:r>
      <w:r>
        <w:rPr>
          <w:rFonts w:hint="eastAsia" w:ascii="仿宋_GB2312" w:hAnsi="仿宋_GB2312" w:eastAsia="仿宋_GB2312" w:cs="Times New Roman"/>
          <w:b/>
          <w:color w:val="auto"/>
          <w:sz w:val="32"/>
          <w:szCs w:val="32"/>
          <w:highlight w:val="none"/>
          <w:lang w:eastAsia="zh-CN"/>
        </w:rPr>
        <w:t>三</w:t>
      </w:r>
      <w:r>
        <w:rPr>
          <w:rFonts w:ascii="仿宋_GB2312" w:hAnsi="仿宋_GB2312" w:eastAsia="仿宋_GB2312" w:cs="Times New Roman"/>
          <w:b/>
          <w:color w:val="auto"/>
          <w:sz w:val="32"/>
          <w:szCs w:val="32"/>
          <w:highlight w:val="none"/>
        </w:rPr>
        <w:t>步：</w:t>
      </w:r>
      <w:r>
        <w:rPr>
          <w:rFonts w:ascii="仿宋_GB2312" w:hAnsi="仿宋_GB2312" w:eastAsia="仿宋_GB2312" w:cs="仿宋_GB2312"/>
          <w:color w:val="auto"/>
          <w:sz w:val="32"/>
          <w:szCs w:val="32"/>
          <w:highlight w:val="none"/>
        </w:rPr>
        <w:t>在线打印《福田区产业发展专项资金申请表》等信息表格及提供《申请指南》所列的材料，将纸质材料（A4纸）按顺序装订成册（一式一份），递交到“福田区政务服务大厅”窗口，受理部门对材料完整性、真实性、有效性进行初步审核。</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color w:val="auto"/>
          <w:highlight w:val="none"/>
        </w:rPr>
      </w:pPr>
      <w:r>
        <w:rPr>
          <w:rFonts w:ascii="仿宋_GB2312" w:hAnsi="仿宋_GB2312" w:eastAsia="仿宋_GB2312" w:cs="仿宋_GB2312"/>
          <w:color w:val="auto"/>
          <w:sz w:val="32"/>
          <w:szCs w:val="32"/>
          <w:highlight w:val="none"/>
        </w:rPr>
        <w:t>申报材料中的所有复印件必须加盖申请单位公章，合订成册后必须盖骑缝章。材料装订顺序按本《申请指南》的表格序号排列，材料厚度较小可采用竖排左侧两个钉装订，材料厚度较大时采用胶装、线装、打孔装之中一种，不能采用拉杆式包装。未按要求装订的</w:t>
      </w:r>
      <w:r>
        <w:rPr>
          <w:rFonts w:ascii="仿宋_GB2312" w:hAnsi="仿宋_GB2312" w:eastAsia="仿宋_GB2312" w:cs="Times New Roman"/>
          <w:color w:val="auto"/>
          <w:sz w:val="32"/>
          <w:szCs w:val="32"/>
          <w:highlight w:val="none"/>
        </w:rPr>
        <w:t>材料不予受理。</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ascii="Arial" w:hAnsi="Times New Roman" w:eastAsia="宋体" w:cs="Times New Roman"/>
          <w:color w:val="auto"/>
          <w:sz w:val="32"/>
          <w:szCs w:val="32"/>
          <w:highlight w:val="none"/>
        </w:rPr>
      </w:pPr>
      <w:r>
        <w:rPr>
          <w:rFonts w:hint="eastAsia" w:ascii="黑体" w:hAnsi="黑体" w:eastAsia="黑体" w:cs="Times New Roman"/>
          <w:color w:val="auto"/>
          <w:sz w:val="32"/>
          <w:szCs w:val="32"/>
          <w:highlight w:val="none"/>
          <w:lang w:val="en-US" w:eastAsia="zh-CN"/>
        </w:rPr>
        <w:t>七</w:t>
      </w:r>
      <w:r>
        <w:rPr>
          <w:rFonts w:ascii="黑体" w:hAnsi="黑体" w:eastAsia="黑体" w:cs="Times New Roman"/>
          <w:color w:val="auto"/>
          <w:sz w:val="32"/>
          <w:szCs w:val="32"/>
          <w:highlight w:val="none"/>
        </w:rPr>
        <w:t>、补充说明</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仿宋_GB2312" w:eastAsia="仿宋_GB2312"/>
          <w:color w:val="auto"/>
          <w:sz w:val="32"/>
          <w:szCs w:val="32"/>
          <w:highlight w:val="none"/>
          <w:lang w:bidi="ar"/>
        </w:rPr>
      </w:pPr>
      <w:r>
        <w:rPr>
          <w:rFonts w:hint="eastAsia" w:ascii="仿宋_GB2312" w:eastAsia="仿宋_GB2312"/>
          <w:color w:val="auto"/>
          <w:kern w:val="0"/>
          <w:sz w:val="32"/>
          <w:szCs w:val="32"/>
          <w:highlight w:val="none"/>
          <w:lang w:bidi="ar"/>
        </w:rPr>
        <w:t>（</w:t>
      </w:r>
      <w:r>
        <w:rPr>
          <w:rFonts w:hint="eastAsia" w:ascii="仿宋_GB2312" w:eastAsia="仿宋_GB2312"/>
          <w:color w:val="auto"/>
          <w:kern w:val="0"/>
          <w:sz w:val="32"/>
          <w:szCs w:val="32"/>
          <w:highlight w:val="none"/>
          <w:lang w:val="en-US" w:eastAsia="zh-CN" w:bidi="ar"/>
        </w:rPr>
        <w:t>一</w:t>
      </w:r>
      <w:r>
        <w:rPr>
          <w:rFonts w:hint="eastAsia" w:ascii="仿宋_GB2312" w:eastAsia="仿宋_GB2312"/>
          <w:color w:val="auto"/>
          <w:kern w:val="0"/>
          <w:sz w:val="32"/>
          <w:szCs w:val="32"/>
          <w:highlight w:val="none"/>
          <w:lang w:bidi="ar"/>
        </w:rPr>
        <w:t>）福田区主管部门可以根据当年产业资金计划和受理情况，在</w:t>
      </w:r>
      <w:r>
        <w:rPr>
          <w:rFonts w:ascii="仿宋_GB2312" w:hAnsi="仿宋_GB2312" w:eastAsia="仿宋_GB2312" w:cs="Times New Roman"/>
          <w:color w:val="auto"/>
          <w:sz w:val="32"/>
          <w:szCs w:val="32"/>
          <w:highlight w:val="none"/>
        </w:rPr>
        <w:t>《</w:t>
      </w:r>
      <w:r>
        <w:rPr>
          <w:rFonts w:hint="eastAsia" w:ascii="仿宋_GB2312" w:hAnsi="仿宋_GB2312" w:eastAsia="仿宋_GB2312" w:cs="Times New Roman"/>
          <w:color w:val="auto"/>
          <w:sz w:val="32"/>
          <w:szCs w:val="32"/>
          <w:highlight w:val="none"/>
        </w:rPr>
        <w:t>深圳市福田区产业空间资源协同管理暂行办法</w:t>
      </w:r>
      <w:r>
        <w:rPr>
          <w:rFonts w:ascii="仿宋_GB2312" w:hAnsi="仿宋_GB2312" w:eastAsia="仿宋_GB2312" w:cs="Times New Roman"/>
          <w:color w:val="auto"/>
          <w:sz w:val="32"/>
          <w:szCs w:val="32"/>
          <w:highlight w:val="none"/>
        </w:rPr>
        <w:t>》</w:t>
      </w:r>
      <w:r>
        <w:rPr>
          <w:rFonts w:hint="eastAsia" w:ascii="仿宋_GB2312" w:eastAsia="仿宋_GB2312"/>
          <w:color w:val="auto"/>
          <w:kern w:val="0"/>
          <w:sz w:val="32"/>
          <w:szCs w:val="32"/>
          <w:highlight w:val="none"/>
          <w:lang w:bidi="ar"/>
        </w:rPr>
        <w:t>的框架内适当调整当年受理项目、申请材料和具体要求并予以公布，</w:t>
      </w:r>
      <w:r>
        <w:rPr>
          <w:rFonts w:hint="eastAsia" w:ascii="仿宋_GB2312" w:eastAsia="仿宋_GB2312"/>
          <w:color w:val="auto"/>
          <w:sz w:val="32"/>
          <w:szCs w:val="32"/>
          <w:highlight w:val="none"/>
          <w:lang w:bidi="ar"/>
        </w:rPr>
        <w:t>申请企业应按最新公布内容准备相关材料。</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ascii="仿宋_GB2312" w:hAnsi="仿宋_GB2312" w:eastAsia="仿宋_GB2312" w:cs="Times New Roman"/>
          <w:color w:val="auto"/>
          <w:sz w:val="32"/>
          <w:szCs w:val="32"/>
          <w:highlight w:val="none"/>
        </w:rPr>
      </w:pPr>
      <w:r>
        <w:rPr>
          <w:rFonts w:ascii="仿宋_GB2312" w:hAnsi="仿宋_GB2312" w:eastAsia="仿宋_GB2312" w:cs="Times New Roman"/>
          <w:color w:val="auto"/>
          <w:sz w:val="32"/>
          <w:szCs w:val="32"/>
          <w:highlight w:val="none"/>
        </w:rPr>
        <w:t>（</w:t>
      </w:r>
      <w:r>
        <w:rPr>
          <w:rFonts w:hint="eastAsia" w:ascii="仿宋_GB2312" w:hAnsi="仿宋_GB2312" w:eastAsia="仿宋_GB2312" w:cs="Times New Roman"/>
          <w:color w:val="auto"/>
          <w:sz w:val="32"/>
          <w:szCs w:val="32"/>
          <w:highlight w:val="none"/>
          <w:lang w:eastAsia="zh-CN"/>
        </w:rPr>
        <w:t>二</w:t>
      </w:r>
      <w:r>
        <w:rPr>
          <w:rFonts w:ascii="仿宋_GB2312" w:hAnsi="仿宋_GB2312" w:eastAsia="仿宋_GB2312" w:cs="Times New Roman"/>
          <w:color w:val="auto"/>
          <w:sz w:val="32"/>
          <w:szCs w:val="32"/>
          <w:highlight w:val="none"/>
        </w:rPr>
        <w:t>）</w:t>
      </w:r>
      <w:r>
        <w:rPr>
          <w:rFonts w:hint="eastAsia" w:ascii="仿宋_GB2312" w:hAnsi="仿宋_GB2312" w:eastAsia="仿宋_GB2312" w:cs="Times New Roman"/>
          <w:color w:val="auto"/>
          <w:sz w:val="32"/>
          <w:szCs w:val="32"/>
          <w:highlight w:val="none"/>
        </w:rPr>
        <w:t>福田区主管部门在初审过程中可以采取上门走访调研和向第三方查验真实性等方式进行审核。如遇特殊情况，可要求申请方补充材料，申请方应予以配合。</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color w:val="auto"/>
          <w:highlight w:val="none"/>
        </w:rPr>
      </w:pPr>
      <w:r>
        <w:rPr>
          <w:rFonts w:hint="eastAsia" w:ascii="仿宋_GB2312" w:hAnsi="仿宋_GB2312" w:eastAsia="仿宋_GB2312" w:cs="Times New Roman"/>
          <w:color w:val="auto"/>
          <w:sz w:val="32"/>
          <w:szCs w:val="32"/>
          <w:highlight w:val="none"/>
        </w:rPr>
        <w:t>（</w:t>
      </w:r>
      <w:r>
        <w:rPr>
          <w:rFonts w:hint="eastAsia" w:ascii="仿宋_GB2312" w:hAnsi="仿宋_GB2312" w:eastAsia="仿宋_GB2312" w:cs="Times New Roman"/>
          <w:color w:val="auto"/>
          <w:sz w:val="32"/>
          <w:szCs w:val="32"/>
          <w:highlight w:val="none"/>
          <w:lang w:val="en-US" w:eastAsia="zh-CN"/>
        </w:rPr>
        <w:t>三</w:t>
      </w:r>
      <w:r>
        <w:rPr>
          <w:rFonts w:hint="eastAsia" w:ascii="仿宋_GB2312" w:hAnsi="仿宋_GB2312" w:eastAsia="仿宋_GB2312" w:cs="Times New Roman"/>
          <w:color w:val="auto"/>
          <w:sz w:val="32"/>
          <w:szCs w:val="32"/>
          <w:highlight w:val="none"/>
        </w:rPr>
        <w:t>）本申请指南中，如无特别说明，涉及“上年度”均指项目申请的前一年；涉及数字“以上”的，均包含本数（如营业收入2000万元以上，意思为：营业收入2000万元及以上）；涉及数字区间的，均包含下限不含上限（如营业收入2000万元至5000万元，意思为：2000万元≤营业收入＜5000万元）。</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ascii="Arial" w:hAnsi="Times New Roman" w:eastAsia="宋体" w:cs="Times New Roman"/>
          <w:color w:val="auto"/>
          <w:sz w:val="32"/>
          <w:szCs w:val="32"/>
          <w:highlight w:val="none"/>
        </w:rPr>
      </w:pPr>
      <w:r>
        <w:rPr>
          <w:rFonts w:hint="eastAsia" w:ascii="黑体" w:hAnsi="黑体" w:eastAsia="黑体" w:cs="Times New Roman"/>
          <w:color w:val="auto"/>
          <w:sz w:val="32"/>
          <w:szCs w:val="32"/>
          <w:highlight w:val="none"/>
          <w:lang w:val="en-US" w:eastAsia="zh-CN"/>
        </w:rPr>
        <w:t>八</w:t>
      </w:r>
      <w:r>
        <w:rPr>
          <w:rFonts w:ascii="黑体" w:hAnsi="黑体" w:eastAsia="黑体" w:cs="Times New Roman"/>
          <w:color w:val="auto"/>
          <w:sz w:val="32"/>
          <w:szCs w:val="32"/>
          <w:highlight w:val="none"/>
        </w:rPr>
        <w:t>、联系方式</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（一）递交材料地点</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福田区政务服务大厅</w:t>
      </w:r>
      <w:r>
        <w:rPr>
          <w:rFonts w:hint="eastAsia" w:ascii="仿宋_GB2312" w:eastAsia="仿宋_GB2312"/>
          <w:color w:val="auto"/>
          <w:kern w:val="0"/>
          <w:sz w:val="32"/>
          <w:szCs w:val="32"/>
          <w:highlight w:val="none"/>
          <w:lang w:bidi="ar"/>
        </w:rPr>
        <w:t>（深南大道1006号福田区国际创新中心F座3层）</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（二）窗口开放时间</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周一至周五 上午9:00-12:00，下午2:00-5:45</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（三）业务咨询电话</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仿宋_GB2312" w:hAnsi="仿宋_GB2312" w:eastAsia="仿宋_GB2312" w:cs="仿宋_GB2312"/>
          <w:color w:val="auto"/>
          <w:highlight w:val="none"/>
          <w:lang w:val="en-US"/>
        </w:rPr>
      </w:pPr>
      <w:r>
        <w:rPr>
          <w:rFonts w:hint="eastAsia" w:ascii="仿宋_GB2312" w:hAnsi="仿宋_GB2312" w:eastAsia="仿宋_GB2312" w:cs="仿宋_GB2312"/>
          <w:color w:val="auto"/>
          <w:sz w:val="32"/>
          <w:szCs w:val="32"/>
          <w:highlight w:val="none"/>
        </w:rPr>
        <w:t>区企业发展服务中心：</w:t>
      </w:r>
      <w:r>
        <w:rPr>
          <w:rFonts w:hint="eastAsia" w:ascii="仿宋_GB2312" w:hAnsi="仿宋_GB2312" w:eastAsia="仿宋_GB2312" w:cs="仿宋_GB2312"/>
          <w:color w:val="auto"/>
          <w:sz w:val="32"/>
          <w:szCs w:val="32"/>
          <w:highlight w:val="none"/>
          <w:lang w:val="en-US" w:eastAsia="zh-CN"/>
        </w:rPr>
        <w:t>88910608</w:t>
      </w:r>
    </w:p>
    <w:p>
      <w:pPr>
        <w:pStyle w:val="2"/>
        <w:rPr>
          <w:rFonts w:hint="eastAsia" w:ascii="仿宋_GB2312" w:hAnsi="仿宋_GB2312" w:eastAsia="仿宋_GB2312" w:cs="仿宋_GB2312"/>
          <w:color w:val="auto"/>
          <w:highlight w:val="none"/>
        </w:rPr>
      </w:pPr>
    </w:p>
    <w:p>
      <w:pPr>
        <w:rPr>
          <w:color w:val="auto"/>
          <w:highlight w:val="none"/>
        </w:rPr>
      </w:pP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773FC"/>
    <w:rsid w:val="09855BC7"/>
    <w:rsid w:val="0D0A47B6"/>
    <w:rsid w:val="1DE66563"/>
    <w:rsid w:val="1ED2259F"/>
    <w:rsid w:val="22A42971"/>
    <w:rsid w:val="244577FF"/>
    <w:rsid w:val="24AA2C49"/>
    <w:rsid w:val="30F773FC"/>
    <w:rsid w:val="45891A90"/>
    <w:rsid w:val="4956746F"/>
    <w:rsid w:val="4C184B1F"/>
    <w:rsid w:val="53A62679"/>
    <w:rsid w:val="59182F21"/>
    <w:rsid w:val="6D9D47B0"/>
    <w:rsid w:val="785B5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List Paragraph"/>
    <w:basedOn w:val="1"/>
    <w:qFormat/>
    <w:uiPriority w:val="99"/>
    <w:pPr>
      <w:ind w:firstLine="420" w:firstLineChars="200"/>
    </w:pPr>
  </w:style>
  <w:style w:type="character" w:customStyle="1" w:styleId="6">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2021-06-02T08:15:00Z</dcterms:created>
  <dc:creator>chanchanchange</dc:creator>
  <cp:lastModifiedBy>Administrator</cp:lastModifiedBy>
  <dcterms:modified xsi:type="dcterms:W3CDTF">2021-09-10T01:51:19Z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